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80" w:beforeLines="200" w:after="240" w:afterLines="100" w:line="360" w:lineRule="auto"/>
        <w:jc w:val="center"/>
        <w:rPr>
          <w:rFonts w:ascii="微软雅黑" w:hAnsi="微软雅黑" w:eastAsia="微软雅黑"/>
          <w:b/>
          <w:bCs/>
          <w:sz w:val="40"/>
          <w:szCs w:val="40"/>
        </w:rPr>
      </w:pPr>
      <w:r>
        <w:rPr>
          <w:rFonts w:hint="eastAsia" w:ascii="微软雅黑" w:hAnsi="微软雅黑" w:eastAsia="微软雅黑"/>
          <w:b/>
          <w:bCs/>
          <w:sz w:val="40"/>
          <w:szCs w:val="40"/>
          <w:lang w:val="en-US" w:eastAsia="zh-CN"/>
        </w:rPr>
        <w:t>福建农信2022年度校园招聘面试手册</w:t>
      </w:r>
    </w:p>
    <w:p>
      <w:pPr>
        <w:keepNext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一、准备工作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考生</w:t>
      </w:r>
      <w:r>
        <w:rPr>
          <w:rFonts w:hint="eastAsia" w:ascii="微软雅黑" w:hAnsi="微软雅黑" w:eastAsia="微软雅黑"/>
        </w:rPr>
        <w:t>需要在面试前准备好面试当天需要使用的设备，并提前完成调试工作。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1.1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设备准备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硬件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一台台式机 或 笔记本电脑 或 Surface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平板电脑 或 苹果笔记本。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操作系统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（推荐）Microsoft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7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SP1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（推荐）Microsoft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10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Vista SP1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8/8.1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mac</w:t>
      </w:r>
      <w:r>
        <w:rPr>
          <w:rFonts w:ascii="微软雅黑" w:hAnsi="微软雅黑" w:eastAsia="微软雅黑"/>
        </w:rPr>
        <w:t xml:space="preserve">OS 10.15 </w:t>
      </w:r>
      <w:r>
        <w:rPr>
          <w:rFonts w:hint="eastAsia" w:ascii="微软雅黑" w:hAnsi="微软雅黑" w:eastAsia="微软雅黑"/>
        </w:rPr>
        <w:t>及其以上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浏览器</w:t>
      </w:r>
    </w:p>
    <w:p>
      <w:pPr>
        <w:pStyle w:val="11"/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谷歌浏览器（版本 75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及其以上），可以访问此链接下载最新版浏览器：</w:t>
      </w:r>
      <w:r>
        <w:rPr>
          <w:rFonts w:ascii="微软雅黑" w:hAnsi="微软雅黑" w:eastAsia="微软雅黑"/>
        </w:rPr>
        <w:t>https://www.google.c</w:t>
      </w:r>
      <w:r>
        <w:rPr>
          <w:rFonts w:hint="eastAsia" w:ascii="微软雅黑" w:hAnsi="微软雅黑" w:eastAsia="微软雅黑"/>
        </w:rPr>
        <w:t>n</w:t>
      </w:r>
      <w:r>
        <w:rPr>
          <w:rFonts w:ascii="微软雅黑" w:hAnsi="微软雅黑" w:eastAsia="微软雅黑"/>
        </w:rPr>
        <w:t>/chrome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显示器</w:t>
      </w:r>
    </w:p>
    <w:p>
      <w:pPr>
        <w:pStyle w:val="11"/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屏幕可用分辨率至少 1200×600。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网络</w:t>
      </w:r>
    </w:p>
    <w:p>
      <w:pPr>
        <w:pStyle w:val="11"/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能够访问互联网的网络环境，推荐使用有线网络。如果使用 Wi-Fi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环境，需要确保无线信号良好。</w:t>
      </w:r>
    </w:p>
    <w:p>
      <w:pPr>
        <w:pStyle w:val="11"/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网络带宽：打开常用视频网站（如优酷、腾讯视频、爱奇艺等）能正常播放视频。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硬件</w:t>
      </w:r>
    </w:p>
    <w:p>
      <w:pPr>
        <w:pStyle w:val="11"/>
        <w:numPr>
          <w:ilvl w:val="0"/>
          <w:numId w:val="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摄像头，支持外接 USB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摄像头</w:t>
      </w:r>
    </w:p>
    <w:p>
      <w:pPr>
        <w:pStyle w:val="11"/>
        <w:numPr>
          <w:ilvl w:val="0"/>
          <w:numId w:val="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麦克风</w:t>
      </w:r>
    </w:p>
    <w:p>
      <w:pPr>
        <w:pStyle w:val="11"/>
        <w:numPr>
          <w:ilvl w:val="0"/>
          <w:numId w:val="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扬声器</w:t>
      </w:r>
    </w:p>
    <w:p>
      <w:pPr>
        <w:pStyle w:val="11"/>
        <w:numPr>
          <w:ilvl w:val="0"/>
          <w:numId w:val="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耳机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手机</w:t>
      </w:r>
    </w:p>
    <w:p>
      <w:pPr>
        <w:pStyle w:val="11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一台安装有微信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7.0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及其以上的智能手机，并能上网。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重要说明：</w:t>
      </w:r>
    </w:p>
    <w:p>
      <w:pPr>
        <w:pStyle w:val="11"/>
        <w:numPr>
          <w:ilvl w:val="0"/>
          <w:numId w:val="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面试时，摄像头需要能够拍摄到</w:t>
      </w:r>
      <w:r>
        <w:rPr>
          <w:rFonts w:hint="eastAsia" w:ascii="微软雅黑" w:hAnsi="微软雅黑" w:eastAsia="微软雅黑"/>
          <w:lang w:val="en-US" w:eastAsia="zh-CN"/>
        </w:rPr>
        <w:t>考生</w:t>
      </w:r>
      <w:r>
        <w:rPr>
          <w:rFonts w:hint="eastAsia" w:ascii="微软雅黑" w:hAnsi="微软雅黑" w:eastAsia="微软雅黑"/>
        </w:rPr>
        <w:t>本人，需要确保前置摄像头可用。</w:t>
      </w:r>
    </w:p>
    <w:p>
      <w:pPr>
        <w:pStyle w:val="11"/>
        <w:numPr>
          <w:ilvl w:val="0"/>
          <w:numId w:val="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尽可能不要使用蓝牙耳机，推荐使用有线耳机。如果使用蓝牙耳机参加面试，需要确保蓝牙耳机电量充足，连接稳定。</w:t>
      </w:r>
    </w:p>
    <w:p>
      <w:pPr>
        <w:pStyle w:val="11"/>
        <w:numPr>
          <w:ilvl w:val="0"/>
          <w:numId w:val="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请不要使用外置扬声器（如外</w:t>
      </w:r>
      <w:bookmarkStart w:id="0" w:name="_GoBack"/>
      <w:bookmarkEnd w:id="0"/>
      <w:r>
        <w:rPr>
          <w:rFonts w:hint="eastAsia" w:ascii="微软雅黑" w:hAnsi="微软雅黑" w:eastAsia="微软雅黑"/>
        </w:rPr>
        <w:t>接喇叭），使用外置扬声器可能产生回声，影响面试。</w:t>
      </w:r>
    </w:p>
    <w:p>
      <w:pPr>
        <w:pStyle w:val="11"/>
        <w:numPr>
          <w:ilvl w:val="0"/>
          <w:numId w:val="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在屏幕分辨率达标的情况下，如果无法正常显示网站内容，请检查显示缩放是否设置超过 100%。</w:t>
      </w:r>
    </w:p>
    <w:p>
      <w:pPr>
        <w:pStyle w:val="11"/>
        <w:numPr>
          <w:ilvl w:val="0"/>
          <w:numId w:val="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如果在苹果笔记本上安装 Windows，扬声器、麦克风 和/或 摄像头可能会出现不兼容的情况，请务必确保摄像头、麦克风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和 扬声器可用，并在面试前完成设备调试。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1.2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设备调试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视频面试需要开启摄像头、麦克风和扬声器，在面试前应当做好调试准备工作。面试系统提供相应的设备调试环境，</w:t>
      </w:r>
      <w:r>
        <w:rPr>
          <w:rFonts w:hint="eastAsia" w:ascii="微软雅黑" w:hAnsi="微软雅黑" w:eastAsia="微软雅黑"/>
          <w:lang w:val="en-US" w:eastAsia="zh-CN"/>
        </w:rPr>
        <w:t>考生</w:t>
      </w:r>
      <w:r>
        <w:rPr>
          <w:rFonts w:hint="eastAsia" w:ascii="微软雅黑" w:hAnsi="微软雅黑" w:eastAsia="微软雅黑"/>
        </w:rPr>
        <w:t>登录面试系统即可进行设备调试。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调试摄像头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考生</w:t>
      </w:r>
      <w:r>
        <w:rPr>
          <w:rFonts w:hint="eastAsia" w:ascii="微软雅黑" w:hAnsi="微软雅黑" w:eastAsia="微软雅黑"/>
        </w:rPr>
        <w:t>打开面试系统后，在登录页面（中间右下方）可看到调试设备的按钮，如下图所示。</w:t>
      </w:r>
      <w:r>
        <w:rPr>
          <w:rFonts w:hint="eastAsia" w:ascii="微软雅黑" w:hAnsi="微软雅黑" w:eastAsia="微软雅黑"/>
          <w:lang w:val="en-US" w:eastAsia="zh-CN"/>
        </w:rPr>
        <w:t>考生</w:t>
      </w:r>
      <w:r>
        <w:rPr>
          <w:rFonts w:hint="eastAsia" w:ascii="微软雅黑" w:hAnsi="微软雅黑" w:eastAsia="微软雅黑"/>
        </w:rPr>
        <w:t>可以点击“调试设备”按钮打开调试页面。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438650" cy="762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</w:t>
      </w:r>
      <w:r>
        <w:rPr>
          <w:rFonts w:hint="eastAsia" w:ascii="微软雅黑" w:hAnsi="微软雅黑" w:eastAsia="微软雅黑"/>
        </w:rPr>
        <w:t>：在点击调试设备前，请确保摄像头、麦克风已连接。同时，没有其它应用程序正在使用摄像头和麦克风。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如果首次使用，系统会弹出设备授权框，系统会显示如下图所示的提示信息。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676650" cy="1714500"/>
            <wp:effectExtent l="19050" t="19050" r="19050" b="190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714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您需要在左上角弹出的授权框中点击“允许”按钮。在摄像头和麦克风允许访问后，您可以看到视频画面，如下图所示。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91940" cy="4716780"/>
            <wp:effectExtent l="19050" t="19050" r="22860" b="266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92120" cy="4717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如果能看到实时画面，那说明摄像头已可以正常使用。如果无法看到实时画面，请检查摄像头是否已正确连接，或者摄像头是否可以正常使用。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</w:t>
      </w:r>
      <w:r>
        <w:rPr>
          <w:rFonts w:hint="eastAsia" w:ascii="微软雅黑" w:hAnsi="微软雅黑" w:eastAsia="微软雅黑"/>
        </w:rPr>
        <w:t>：请使用能拍摄到您本人画面的摄像头进行调试。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调试麦克风和扬声器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完成摄像头调试后，可以对麦克风和扬声器进行调试。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69080" cy="4709160"/>
            <wp:effectExtent l="19050" t="19050" r="26670" b="152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4709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调试分为两步，先录音，后回放，具体步骤如下。</w:t>
      </w:r>
    </w:p>
    <w:p>
      <w:pPr>
        <w:pStyle w:val="11"/>
        <w:numPr>
          <w:ilvl w:val="0"/>
          <w:numId w:val="6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一步录音：点击红色圆圈按钮（录制按钮）开始录制。录音框下方会有红色倒计时进度条，倒计时结束后自动停止录音，也可以手动点击红色方块手动结束录音。同时录音框中会有类似进度条，进度条会有深浅，表示声音响亮程度。可以对着麦克风的方向说话，如大声数数，1、2、3、4、5。</w:t>
      </w:r>
    </w:p>
    <w:p>
      <w:pPr>
        <w:pStyle w:val="11"/>
        <w:numPr>
          <w:ilvl w:val="0"/>
          <w:numId w:val="6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第二步回放：录音结束后，点击下方的播放按钮。此时可以回放刚才的录音，如果能听到声音就表示麦克风和扬声器正常。如果无法听到录音，请检查麦克风和扬声器是否可以正常使用，或者扬声器未静音。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1.2.2.1 摄像头和麦克风被屏蔽如何解决？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如果未授权面试系统使用摄像头和麦克风，将看到如下图所示的提示信息。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3695065" cy="1393825"/>
            <wp:effectExtent l="19050" t="19050" r="19685" b="158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5400" cy="1394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请根据提示信息上的操作指令开启摄像头和麦克风，开启后可以点击“刷新”查看。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10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或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8/8.1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中摄像头和麦克风被屏蔽如何解决？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如果操作系统为 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10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 xml:space="preserve">或 </w:t>
      </w:r>
      <w:r>
        <w:rPr>
          <w:rFonts w:ascii="微软雅黑" w:hAnsi="微软雅黑" w:eastAsia="微软雅黑"/>
        </w:rPr>
        <w:t>Windows 8/8.1</w:t>
      </w:r>
      <w:r>
        <w:rPr>
          <w:rFonts w:hint="eastAsia" w:ascii="微软雅黑" w:hAnsi="微软雅黑" w:eastAsia="微软雅黑"/>
        </w:rPr>
        <w:t>，根据 1.2.2.1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节中的步骤操作后依然无法解决，请尝试以下步骤。</w:t>
      </w:r>
    </w:p>
    <w:p>
      <w:pPr>
        <w:pStyle w:val="11"/>
        <w:numPr>
          <w:ilvl w:val="0"/>
          <w:numId w:val="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打开“设置”。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点击“隐私”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点击左侧菜单“相机”。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确保“允许在此设备上访问相机”已打开，若未打开，请点击“更改”按钮来打开。</w:t>
      </w:r>
    </w:p>
    <w:p>
      <w:pPr>
        <w:pStyle w:val="11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确保“允许应用访问你的相机”已打开，若未打开，请打开对应的开关。</w:t>
      </w:r>
    </w:p>
    <w:p>
      <w:pPr>
        <w:pStyle w:val="11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确保“允许桌面应用访问你的相机”已打开，若未打开，请打开对应的开关，如下图所示。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637280" cy="2042160"/>
            <wp:effectExtent l="19050" t="19050" r="20320" b="152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440" cy="2042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点击左侧菜单“麦克风”。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确保“允许在此设备上访问麦克风”已打开，若未打开，请点击“更改”按钮来打开。</w:t>
      </w:r>
    </w:p>
    <w:p>
      <w:pPr>
        <w:pStyle w:val="11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确保“允许应用访问你的麦克风”已打开，若未打开，请打开对应的开关。</w:t>
      </w:r>
    </w:p>
    <w:p>
      <w:pPr>
        <w:pStyle w:val="11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确保“允许桌面应用访问你的麦克风”已打开，若未打开，请打开对应的开关，如下图所示。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596640" cy="2011680"/>
            <wp:effectExtent l="19050" t="19050" r="22860" b="266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6760" cy="2011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1.2.2.3 切换摄像头、麦克风、扬声器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如果具有多个摄像头 和/或 麦克风 和/或 扬声器，可以根据需要在设备间进行切换。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1.2.3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检测网络环境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完成麦克风和扬声器调试后，需要检测网络环境。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76065" cy="4723765"/>
            <wp:effectExtent l="19050" t="19050" r="19685" b="196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76640" cy="4724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如果网络检测结果为“网络连接正常”，则表明可以正常进行面试，否则无法正常面试。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1.2.3.</w:t>
      </w:r>
      <w:r>
        <w:rPr>
          <w:rFonts w:ascii="微软雅黑" w:hAnsi="微软雅黑" w:eastAsia="微软雅黑"/>
          <w:b/>
          <w:bCs/>
        </w:rPr>
        <w:t xml:space="preserve">1 </w:t>
      </w:r>
      <w:r>
        <w:rPr>
          <w:rFonts w:hint="eastAsia" w:ascii="微软雅黑" w:hAnsi="微软雅黑" w:eastAsia="微软雅黑"/>
          <w:b/>
          <w:bCs/>
        </w:rPr>
        <w:t>视频面试对网络有什么要求？</w:t>
      </w:r>
    </w:p>
    <w:p>
      <w:pPr>
        <w:pStyle w:val="11"/>
        <w:numPr>
          <w:ilvl w:val="0"/>
          <w:numId w:val="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网络带宽：无特殊情况下，网络下行带宽 ≥ </w:t>
      </w:r>
      <w:r>
        <w:rPr>
          <w:rFonts w:ascii="微软雅黑" w:hAnsi="微软雅黑" w:eastAsia="微软雅黑"/>
        </w:rPr>
        <w:t>10Mbsp</w:t>
      </w:r>
      <w:r>
        <w:rPr>
          <w:rFonts w:hint="eastAsia" w:ascii="微软雅黑" w:hAnsi="微软雅黑" w:eastAsia="微软雅黑"/>
        </w:rPr>
        <w:t xml:space="preserve"> 且 上行带宽 ≥ 2Mbps，通常 4G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网络环境可满足带宽要求。</w:t>
      </w:r>
    </w:p>
    <w:p>
      <w:pPr>
        <w:pStyle w:val="11"/>
        <w:numPr>
          <w:ilvl w:val="0"/>
          <w:numId w:val="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请确保调试环境与正式面试时的环境一致。</w:t>
      </w:r>
    </w:p>
    <w:p>
      <w:pPr>
        <w:pStyle w:val="11"/>
        <w:numPr>
          <w:ilvl w:val="0"/>
          <w:numId w:val="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尽可能不要使用单位电脑，特别是加入单位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域中的电脑。</w:t>
      </w:r>
    </w:p>
    <w:p>
      <w:pPr>
        <w:pStyle w:val="11"/>
        <w:numPr>
          <w:ilvl w:val="0"/>
          <w:numId w:val="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尽可能在家 或 使用 4G 热点的参加面试。</w:t>
      </w:r>
    </w:p>
    <w:p>
      <w:pPr>
        <w:pStyle w:val="11"/>
        <w:numPr>
          <w:ilvl w:val="0"/>
          <w:numId w:val="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建议使用有线网络。如果使用无线网络，则务必确保无线信号良好。</w:t>
      </w:r>
    </w:p>
    <w:p>
      <w:pPr>
        <w:pStyle w:val="11"/>
        <w:numPr>
          <w:ilvl w:val="0"/>
          <w:numId w:val="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不要使用的公共无线网络，如机场、火车站等地提供的免费 Wi-Fi。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1.2.3.</w:t>
      </w:r>
      <w:r>
        <w:rPr>
          <w:rFonts w:ascii="微软雅黑" w:hAnsi="微软雅黑" w:eastAsia="微软雅黑"/>
          <w:b/>
          <w:bCs/>
        </w:rPr>
        <w:t xml:space="preserve">2 </w:t>
      </w:r>
      <w:r>
        <w:rPr>
          <w:rFonts w:hint="eastAsia" w:ascii="微软雅黑" w:hAnsi="微软雅黑" w:eastAsia="微软雅黑"/>
          <w:b/>
          <w:bCs/>
        </w:rPr>
        <w:t>网络检测异常如何解决？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遇到网络检测结果为异常时，按以下步骤进行解决。</w:t>
      </w:r>
    </w:p>
    <w:p>
      <w:pPr>
        <w:pStyle w:val="11"/>
        <w:numPr>
          <w:ilvl w:val="0"/>
          <w:numId w:val="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确认当前环境是否为面试当天的环境。如果不是则需要更换环境后重新检测。</w:t>
      </w:r>
      <w:r>
        <w:rPr>
          <w:rFonts w:hint="eastAsia" w:ascii="微软雅黑" w:hAnsi="微软雅黑" w:eastAsia="微软雅黑"/>
          <w:i/>
          <w:iCs/>
        </w:rPr>
        <w:t>重要说明</w:t>
      </w:r>
      <w:r>
        <w:rPr>
          <w:rFonts w:hint="eastAsia" w:ascii="微软雅黑" w:hAnsi="微软雅黑" w:eastAsia="微软雅黑"/>
        </w:rPr>
        <w:t>：如果设备调试环境与面试当天环境不一致时，即使网络检测通过，也无法确保面试当天的网络正常。</w:t>
      </w:r>
    </w:p>
    <w:p>
      <w:pPr>
        <w:pStyle w:val="11"/>
        <w:numPr>
          <w:ilvl w:val="0"/>
          <w:numId w:val="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确定是否在单位。一些单位，特别是大型企业的网络很可能会屏蔽某些端口。如果能使用浏览器打开百度页面，只能证明当前网络环境没有限制打开网页（80/443 端口），但视频面试时还需要使用其它端口。此时，建议使用 4G 热点或更换场地来解决。</w:t>
      </w:r>
    </w:p>
    <w:p>
      <w:pPr>
        <w:pStyle w:val="11"/>
        <w:numPr>
          <w:ilvl w:val="0"/>
          <w:numId w:val="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如果不在单位或者更换 4G 热点后依然异常，确定是否使用的是单位电脑。如果使用了单位电脑，则设备可能处于单位 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域环境，一些单位的域会限制访问某些端口，此时建议更换一台非单位电脑来解决。</w:t>
      </w:r>
    </w:p>
    <w:p>
      <w:pPr>
        <w:keepNext/>
        <w:pageBreakBefore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二、面试当天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2.1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准备工作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面试当天，</w:t>
      </w:r>
      <w:r>
        <w:rPr>
          <w:rFonts w:hint="eastAsia" w:ascii="微软雅黑" w:hAnsi="微软雅黑" w:eastAsia="微软雅黑"/>
          <w:lang w:val="en-US" w:eastAsia="zh-CN"/>
        </w:rPr>
        <w:t>考生</w:t>
      </w:r>
      <w:r>
        <w:rPr>
          <w:rFonts w:hint="eastAsia" w:ascii="微软雅黑" w:hAnsi="微软雅黑" w:eastAsia="微软雅黑"/>
        </w:rPr>
        <w:t>需要在签到前准备好以下各项工作。</w:t>
      </w:r>
    </w:p>
    <w:p>
      <w:pPr>
        <w:pStyle w:val="11"/>
        <w:numPr>
          <w:ilvl w:val="0"/>
          <w:numId w:val="1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一台台式机或笔记本电脑，具体设备要求参见 1.1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pStyle w:val="11"/>
        <w:numPr>
          <w:ilvl w:val="0"/>
          <w:numId w:val="1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相关证件，如中国居民身份证（适用于中国居民）、港澳居民来往内地通行证（适用于中国香港特别行政区或澳门特别行政区）、台湾居民来往大陆通行证（中国台湾地区）、其他。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</w:t>
      </w:r>
      <w:r>
        <w:rPr>
          <w:rFonts w:hint="eastAsia" w:ascii="微软雅黑" w:hAnsi="微软雅黑" w:eastAsia="微软雅黑"/>
        </w:rPr>
        <w:t>：如果使用笔记本电脑，请使用电源，以防电池耗尽影响面试。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2.2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面试流程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671820" cy="647700"/>
            <wp:effectExtent l="19050" t="19050" r="24130" b="38100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登录系统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考生</w:t>
      </w:r>
      <w:r>
        <w:rPr>
          <w:rFonts w:hint="eastAsia" w:ascii="微软雅黑" w:hAnsi="微软雅黑" w:eastAsia="微软雅黑"/>
        </w:rPr>
        <w:t>需要使用谷歌浏览器登录，面试地址由主办方在面试前告知。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2962910"/>
            <wp:effectExtent l="0" t="0" r="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请选择报名时的证件号码，选择证件类型，输入证件号码，完成输入后点击“登录”按钮。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确认信息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考生</w:t>
      </w:r>
      <w:r>
        <w:rPr>
          <w:rFonts w:hint="eastAsia" w:ascii="微软雅黑" w:hAnsi="微软雅黑" w:eastAsia="微软雅黑"/>
        </w:rPr>
        <w:t>核对信息无误后点击“正确”按钮，如果信息有错误，需要点击“错误”按钮，并尽快联系主办方。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2.2.3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进入面试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考生</w:t>
      </w:r>
      <w:r>
        <w:rPr>
          <w:rFonts w:hint="eastAsia" w:ascii="微软雅黑" w:hAnsi="微软雅黑" w:eastAsia="微软雅黑"/>
        </w:rPr>
        <w:t>在信息确认后，将看到“我的面试”列表。在此列表中将显示所有我最近 15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天内所有的面试。通常情况下，</w:t>
      </w:r>
      <w:r>
        <w:rPr>
          <w:rFonts w:hint="eastAsia" w:ascii="微软雅黑" w:hAnsi="微软雅黑" w:eastAsia="微软雅黑"/>
          <w:lang w:val="en-US" w:eastAsia="zh-CN"/>
        </w:rPr>
        <w:t>考生</w:t>
      </w:r>
      <w:r>
        <w:rPr>
          <w:rFonts w:hint="eastAsia" w:ascii="微软雅黑" w:hAnsi="微软雅黑" w:eastAsia="微软雅黑"/>
        </w:rPr>
        <w:t>只会看到一场面试。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t xml:space="preserve"> </w:t>
      </w:r>
      <w:r>
        <w:drawing>
          <wp:inline distT="0" distB="0" distL="0" distR="0">
            <wp:extent cx="5486400" cy="41452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找到对应的面试，然后点击该面试右侧的“进入面试”按钮。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2.2.4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设备调试</w:t>
      </w:r>
    </w:p>
    <w:p>
      <w:pPr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br w:type="page"/>
      </w:r>
      <w:r>
        <w:rPr>
          <w:rFonts w:hint="eastAsia" w:ascii="微软雅黑" w:hAnsi="微软雅黑" w:eastAsia="微软雅黑"/>
        </w:rPr>
        <w:t>进入面试后，</w:t>
      </w:r>
      <w:r>
        <w:rPr>
          <w:rFonts w:hint="eastAsia" w:ascii="微软雅黑" w:hAnsi="微软雅黑" w:eastAsia="微软雅黑"/>
          <w:lang w:val="en-US" w:eastAsia="zh-CN"/>
        </w:rPr>
        <w:t>考生</w:t>
      </w:r>
      <w:r>
        <w:rPr>
          <w:rFonts w:hint="eastAsia" w:ascii="微软雅黑" w:hAnsi="微软雅黑" w:eastAsia="微软雅黑"/>
        </w:rPr>
        <w:t>首先需要进行设备调试，点击“设备调试”按钮，根据要求完成设备调试。</w:t>
      </w:r>
      <w:r>
        <w:br w:type="textWrapping"/>
      </w:r>
      <w:r>
        <w:drawing>
          <wp:inline distT="0" distB="0" distL="0" distR="0">
            <wp:extent cx="5486400" cy="32607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</w:t>
      </w:r>
      <w:r>
        <w:rPr>
          <w:rFonts w:ascii="微软雅黑" w:hAnsi="微软雅黑" w:eastAsia="微软雅黑"/>
          <w:b/>
          <w:bCs/>
        </w:rPr>
        <w:t xml:space="preserve">.5 </w:t>
      </w:r>
      <w:r>
        <w:rPr>
          <w:rFonts w:hint="eastAsia" w:ascii="微软雅黑" w:hAnsi="微软雅黑" w:eastAsia="微软雅黑"/>
          <w:b/>
          <w:bCs/>
        </w:rPr>
        <w:t>查看须知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设备调试完成后，须查看面试须知，点击“阅读须知”按钮将显示面试须知。请认真阅读面试须知，完成后点击“我已认真阅读”按钮。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t xml:space="preserve"> </w:t>
      </w:r>
      <w:r>
        <w:drawing>
          <wp:inline distT="0" distB="0" distL="0" distR="0">
            <wp:extent cx="5486400" cy="32404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6 </w:t>
      </w:r>
      <w:r>
        <w:rPr>
          <w:rFonts w:hint="eastAsia" w:ascii="微软雅黑" w:hAnsi="微软雅黑" w:eastAsia="微软雅黑"/>
          <w:b/>
          <w:bCs/>
        </w:rPr>
        <w:t>签署承诺</w:t>
      </w:r>
    </w:p>
    <w:p>
      <w:pPr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</w:rPr>
        <w:t>须知查看并确认后，须签署承诺书，点击“阅读承诺”按钮将显示承诺书，请认真阅读承诺书，勾选我已认真阅读并点击“我承诺遵守上述相关规定”按钮。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328485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7 </w:t>
      </w:r>
      <w:r>
        <w:rPr>
          <w:rFonts w:hint="eastAsia" w:ascii="微软雅黑" w:hAnsi="微软雅黑" w:eastAsia="微软雅黑"/>
          <w:b/>
          <w:bCs/>
        </w:rPr>
        <w:t>人脸核验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承诺签署后,</w:t>
      </w:r>
      <w:r>
        <w:rPr>
          <w:rFonts w:hint="eastAsia" w:ascii="微软雅黑" w:hAnsi="微软雅黑" w:eastAsia="微软雅黑"/>
          <w:lang w:val="en-US" w:eastAsia="zh-CN"/>
        </w:rPr>
        <w:t>考生</w:t>
      </w:r>
      <w:r>
        <w:rPr>
          <w:rFonts w:hint="eastAsia" w:ascii="微软雅黑" w:hAnsi="微软雅黑" w:eastAsia="微软雅黑"/>
        </w:rPr>
        <w:t>需要上传报名时的有效证件，并做人脸核验。</w:t>
      </w:r>
    </w:p>
    <w:p>
      <w:pPr>
        <w:rPr>
          <w:rFonts w:ascii="微软雅黑" w:hAnsi="微软雅黑" w:eastAsia="微软雅黑"/>
          <w:b/>
          <w:bCs/>
        </w:rPr>
      </w:pPr>
      <w:r>
        <w:drawing>
          <wp:inline distT="0" distB="0" distL="0" distR="0">
            <wp:extent cx="5486400" cy="332994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根据页面要求，使用手机扫描二维码，在手机上上传证件和人脸核验。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3566795" cy="1865630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24912" cy="189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</w:t>
      </w:r>
      <w:r>
        <w:rPr>
          <w:rFonts w:ascii="微软雅黑" w:hAnsi="微软雅黑" w:eastAsia="微软雅黑"/>
          <w:b/>
          <w:bCs/>
        </w:rPr>
        <w:t xml:space="preserve">.2.8 </w:t>
      </w:r>
      <w:r>
        <w:rPr>
          <w:rFonts w:hint="eastAsia" w:ascii="微软雅黑" w:hAnsi="微软雅黑" w:eastAsia="微软雅黑"/>
          <w:b/>
          <w:bCs/>
        </w:rPr>
        <w:t>进入面试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根据页面上显示面试时间（如下图所示），请</w:t>
      </w:r>
      <w:r>
        <w:rPr>
          <w:rFonts w:hint="eastAsia" w:ascii="微软雅黑" w:hAnsi="微软雅黑" w:eastAsia="微软雅黑"/>
          <w:lang w:eastAsia="zh-CN"/>
        </w:rPr>
        <w:t>考生</w:t>
      </w:r>
      <w:r>
        <w:rPr>
          <w:rFonts w:hint="eastAsia" w:ascii="微软雅黑" w:hAnsi="微软雅黑" w:eastAsia="微软雅黑"/>
        </w:rPr>
        <w:t>提前进入面试间等待。</w:t>
      </w:r>
      <w:r>
        <w:t xml:space="preserve"> </w:t>
      </w:r>
      <w:r>
        <w:rPr>
          <w:rFonts w:hint="eastAsia" w:ascii="微软雅黑" w:hAnsi="微软雅黑" w:eastAsia="微软雅黑"/>
        </w:rPr>
        <w:t xml:space="preserve"> 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33547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2.2.9 等待面试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2239010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考生须认真阅读候界面的注意事项，待倒计时结束，考生点击蓝色</w:t>
      </w:r>
      <w:r>
        <w:rPr>
          <w:sz w:val="21"/>
          <w:szCs w:val="21"/>
        </w:rPr>
        <w:t>“</w:t>
      </w:r>
      <w:r>
        <w:rPr>
          <w:rFonts w:hint="eastAsia"/>
          <w:sz w:val="21"/>
          <w:szCs w:val="21"/>
        </w:rPr>
        <w:t>开始面试</w:t>
      </w:r>
      <w:r>
        <w:rPr>
          <w:sz w:val="21"/>
          <w:szCs w:val="21"/>
        </w:rPr>
        <w:t>”</w:t>
      </w:r>
      <w:r>
        <w:rPr>
          <w:rFonts w:hint="eastAsia"/>
          <w:sz w:val="21"/>
          <w:szCs w:val="21"/>
        </w:rPr>
        <w:t>按钮，人脸核验后进入作答页。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/>
          <w:sz w:val="21"/>
          <w:szCs w:val="21"/>
          <w:lang w:val="en-US" w:eastAsia="zh-Hans"/>
        </w:rPr>
        <w:t>倒计时结束后</w:t>
      </w:r>
      <w:r>
        <w:rPr>
          <w:rFonts w:hint="default"/>
          <w:sz w:val="21"/>
          <w:szCs w:val="21"/>
          <w:lang w:eastAsia="zh-Hans"/>
        </w:rPr>
        <w:t>，</w:t>
      </w:r>
      <w:r>
        <w:rPr>
          <w:rFonts w:hint="eastAsia"/>
          <w:sz w:val="21"/>
          <w:szCs w:val="21"/>
        </w:rPr>
        <w:t>有</w:t>
      </w:r>
      <w:r>
        <w:rPr>
          <w:rFonts w:hint="eastAsia"/>
          <w:color w:val="FF0000"/>
          <w:sz w:val="21"/>
          <w:szCs w:val="21"/>
        </w:rPr>
        <w:t>2</w:t>
      </w:r>
      <w:r>
        <w:rPr>
          <w:rFonts w:hint="eastAsia"/>
          <w:sz w:val="21"/>
          <w:szCs w:val="21"/>
        </w:rPr>
        <w:t>分钟的时间允许</w:t>
      </w:r>
      <w:r>
        <w:rPr>
          <w:rFonts w:hint="eastAsia"/>
          <w:sz w:val="21"/>
          <w:szCs w:val="21"/>
          <w:lang w:val="en-US" w:eastAsia="zh-Hans"/>
        </w:rPr>
        <w:t>点击“</w:t>
      </w:r>
      <w:r>
        <w:rPr>
          <w:rFonts w:hint="eastAsia"/>
          <w:sz w:val="21"/>
          <w:szCs w:val="21"/>
        </w:rPr>
        <w:t>开始面试</w:t>
      </w:r>
      <w:r>
        <w:rPr>
          <w:rFonts w:hint="eastAsia"/>
          <w:sz w:val="21"/>
          <w:szCs w:val="21"/>
          <w:lang w:eastAsia="zh-Hans"/>
        </w:rPr>
        <w:t>”</w:t>
      </w:r>
      <w:r>
        <w:rPr>
          <w:rFonts w:hint="eastAsia"/>
          <w:sz w:val="21"/>
          <w:szCs w:val="21"/>
        </w:rPr>
        <w:t>，时间截止则无法开始面试。</w:t>
      </w:r>
      <w:r>
        <w:rPr>
          <w:rFonts w:hint="default"/>
          <w:sz w:val="21"/>
          <w:szCs w:val="21"/>
        </w:rPr>
        <w:t>（15</w:t>
      </w:r>
      <w:r>
        <w:rPr>
          <w:rFonts w:hint="eastAsia"/>
          <w:sz w:val="21"/>
          <w:szCs w:val="21"/>
          <w:lang w:val="en-US" w:eastAsia="zh-Hans"/>
        </w:rPr>
        <w:t>:</w:t>
      </w:r>
      <w:r>
        <w:rPr>
          <w:rFonts w:hint="default"/>
          <w:sz w:val="21"/>
          <w:szCs w:val="21"/>
          <w:lang w:eastAsia="zh-Hans"/>
        </w:rPr>
        <w:t>00-15</w:t>
      </w:r>
      <w:r>
        <w:rPr>
          <w:rFonts w:hint="eastAsia"/>
          <w:sz w:val="21"/>
          <w:szCs w:val="21"/>
          <w:lang w:val="en-US" w:eastAsia="zh-Hans"/>
        </w:rPr>
        <w:t>:</w:t>
      </w:r>
      <w:r>
        <w:rPr>
          <w:rFonts w:hint="default"/>
          <w:sz w:val="21"/>
          <w:szCs w:val="21"/>
          <w:lang w:eastAsia="zh-Hans"/>
        </w:rPr>
        <w:t>01</w:t>
      </w:r>
      <w:r>
        <w:rPr>
          <w:rFonts w:hint="eastAsia"/>
          <w:sz w:val="21"/>
          <w:szCs w:val="21"/>
          <w:lang w:val="en-US" w:eastAsia="zh-Hans"/>
        </w:rPr>
        <w:t>:</w:t>
      </w:r>
      <w:r>
        <w:rPr>
          <w:rFonts w:hint="default"/>
          <w:sz w:val="21"/>
          <w:szCs w:val="21"/>
          <w:lang w:eastAsia="zh-Hans"/>
        </w:rPr>
        <w:t>59）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2.2.10 进行面试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开始面试后，根据面试试题要求，回答面试试题。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点击“开始答题”，根据题目要求回答问题（答题前有3秒钟倒计时），如本题有思考时间，则在思考时间结束后，自动开始答题。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drawing>
          <wp:inline distT="0" distB="0" distL="0" distR="0">
            <wp:extent cx="5440680" cy="3060065"/>
            <wp:effectExtent l="0" t="0" r="762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0921" cy="308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本题回答结束，点击“结束答题”等待录制的答题结果回收（如答题时间结束，自动结束答题）。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drawing>
          <wp:inline distT="0" distB="0" distL="0" distR="0">
            <wp:extent cx="5415915" cy="3046095"/>
            <wp:effectExtent l="0" t="0" r="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47283" cy="306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</w:p>
    <w:p>
      <w:pPr>
        <w:spacing w:after="0" w:line="360" w:lineRule="auto"/>
        <w:rPr>
          <w:rFonts w:ascii="微软雅黑" w:hAnsi="微软雅黑" w:eastAsia="微软雅黑"/>
        </w:rPr>
      </w:pPr>
    </w:p>
    <w:p>
      <w:pPr>
        <w:spacing w:after="0" w:line="360" w:lineRule="auto"/>
        <w:rPr>
          <w:rFonts w:ascii="微软雅黑" w:hAnsi="微软雅黑" w:eastAsia="微软雅黑"/>
        </w:rPr>
      </w:pPr>
    </w:p>
    <w:p>
      <w:pPr>
        <w:spacing w:after="0" w:line="360" w:lineRule="auto"/>
        <w:rPr>
          <w:rFonts w:ascii="微软雅黑" w:hAnsi="微软雅黑" w:eastAsia="微软雅黑"/>
        </w:rPr>
      </w:pP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所有试题回答完成后，点击“交卷”按钮，等待所有作答结果上传成功。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drawing>
          <wp:inline distT="0" distB="0" distL="0" distR="0">
            <wp:extent cx="5466080" cy="3074670"/>
            <wp:effectExtent l="0" t="0" r="127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96618" cy="309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面试过程中，如果</w:t>
      </w:r>
      <w:r>
        <w:rPr>
          <w:rFonts w:hint="eastAsia" w:ascii="微软雅黑" w:hAnsi="微软雅黑" w:eastAsia="微软雅黑"/>
          <w:lang w:val="en-US" w:eastAsia="zh-Hans"/>
        </w:rPr>
        <w:t>因特殊原因导致</w:t>
      </w:r>
      <w:r>
        <w:rPr>
          <w:rFonts w:hint="eastAsia" w:ascii="微软雅黑" w:hAnsi="微软雅黑" w:eastAsia="微软雅黑"/>
        </w:rPr>
        <w:t>退出，可以重新登录并返回面试间（重新登录须做人脸核验）。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55943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>1</w:t>
      </w:r>
      <w:r>
        <w:rPr>
          <w:rFonts w:hint="eastAsia" w:ascii="微软雅黑" w:hAnsi="微软雅黑" w:eastAsia="微软雅黑"/>
          <w:b/>
          <w:bCs/>
        </w:rPr>
        <w:t>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面试结束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面试结束，</w:t>
      </w:r>
      <w:r>
        <w:rPr>
          <w:rFonts w:hint="eastAsia" w:ascii="微软雅黑" w:hAnsi="微软雅黑" w:eastAsia="微软雅黑"/>
          <w:lang w:eastAsia="zh-CN"/>
        </w:rPr>
        <w:t>考生</w:t>
      </w:r>
      <w:r>
        <w:rPr>
          <w:rFonts w:hint="eastAsia" w:ascii="微软雅黑" w:hAnsi="微软雅黑" w:eastAsia="微软雅黑"/>
        </w:rPr>
        <w:t>作答结束交卷或作答时间结束将自动退出面试。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3256280"/>
            <wp:effectExtent l="0" t="0" r="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此时，返回“我的面试”列表将看到刚才参加的面试状态已变更为“面试结束”，本次面试全部结束。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t xml:space="preserve"> </w:t>
      </w:r>
      <w:r>
        <w:drawing>
          <wp:inline distT="0" distB="0" distL="0" distR="0">
            <wp:extent cx="5486400" cy="88138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pageBreakBefore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三、常见问题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1、面试前，我需要准备什么？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答：面试前，需要准备好面试当天的设备，包括一台台式机 或 笔记本电脑，安装好最新版本的谷歌浏览器，电脑需要配有可以正常使用的扬声器、麦克风和摄像头。详细要求参见 1.1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节。同时，还需要做好设备调试工作，调试步骤具体参见 1.2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节。如果面试时需要实名认证，那还需要准备好相应的证件（如中国居民身份证等）。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2、能使用平板电脑或手机参加面试吗？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答：不能，本次面试只能使用台式机 或 笔记本电脑，并需要安装最新版谷歌浏览器。谷歌浏览器下载地址：h</w:t>
      </w:r>
      <w:r>
        <w:rPr>
          <w:rFonts w:ascii="微软雅黑" w:hAnsi="微软雅黑" w:eastAsia="微软雅黑"/>
        </w:rPr>
        <w:t>ttps://www.google.cn/chrome</w:t>
      </w:r>
      <w:r>
        <w:rPr>
          <w:rFonts w:hint="eastAsia" w:ascii="微软雅黑" w:hAnsi="微软雅黑" w:eastAsia="微软雅黑"/>
        </w:rPr>
        <w:t>，具体要求参见 1.1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3、</w:t>
      </w:r>
      <w:r>
        <w:rPr>
          <w:rFonts w:hint="eastAsia" w:ascii="微软雅黑" w:hAnsi="微软雅黑" w:eastAsia="微软雅黑"/>
          <w:b/>
          <w:bCs/>
        </w:rPr>
        <w:t>我能不能在面试前进行设备调试？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答：可以，使用谷歌浏览器打开面试系统，在登录页面上点击“调试设备”按钮进入设备调试界面，调试步骤具体参见 1.2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、调试环境与面试当天环境不一致可以吗？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答：不可以，必须确保调试环境与正式面试时的环境一致。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5</w:t>
      </w:r>
      <w:r>
        <w:rPr>
          <w:rFonts w:hint="eastAsia" w:ascii="微软雅黑" w:hAnsi="微软雅黑" w:eastAsia="微软雅黑"/>
          <w:b/>
          <w:bCs/>
        </w:rPr>
        <w:t>、如何对摄像头进行调试？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答：具体调试步骤参见 1.2.1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6</w:t>
      </w:r>
      <w:r>
        <w:rPr>
          <w:rFonts w:hint="eastAsia" w:ascii="微软雅黑" w:hAnsi="微软雅黑" w:eastAsia="微软雅黑"/>
          <w:b/>
          <w:bCs/>
        </w:rPr>
        <w:t>、打开了摄像头，但一直无法看到画面，如何解决？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答：首先，请确保摄像头已连接，不建议使用外接的 USB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摄像头。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在确保摄像头已连接后，若依然无法显示画面，可以使用 QQ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或视频会议软件中的视频功能进行测试，如果同样无法显示画面，则可能是摄像头坏了，或者摄像头未能正常安装，建议更换摄像头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或者 重新安装摄像头。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7</w:t>
      </w:r>
      <w:r>
        <w:rPr>
          <w:rFonts w:hint="eastAsia" w:ascii="微软雅黑" w:hAnsi="微软雅黑" w:eastAsia="微软雅黑"/>
          <w:b/>
          <w:bCs/>
        </w:rPr>
        <w:t>、打开网站时，拒绝使用摄像头和麦克风了，如何重新打开？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答：具体步骤参见 1.2.2.1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8</w:t>
      </w:r>
      <w:r>
        <w:rPr>
          <w:rFonts w:hint="eastAsia" w:ascii="微软雅黑" w:hAnsi="微软雅黑" w:eastAsia="微软雅黑"/>
          <w:b/>
          <w:bCs/>
        </w:rPr>
        <w:t>、允许使用摄像头和麦克风了，在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10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或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8/8.1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中依然显示被屏蔽，如何解决？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答：具体步骤参见 1.2.2.2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9</w:t>
      </w:r>
      <w:r>
        <w:rPr>
          <w:rFonts w:hint="eastAsia" w:ascii="微软雅黑" w:hAnsi="微软雅黑" w:eastAsia="微软雅黑"/>
          <w:b/>
          <w:bCs/>
        </w:rPr>
        <w:t>、无法听到声音，如何解决？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答：首先需要确定已正确安装扬声器，如果未安装扬声器或声卡，请先安装或更换设备。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其次需要确定没有静音或者音量已开到最大，如果静音或音量较小，请解除静音或调节音量到最大。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如果依然无法听到声音，可以使用浏览器打开视频网站（如优酷、腾讯视频、爱奇艺等）观看视频，如果同样无法听到声音，则可能是扬声器坏了，建议更换扬声器。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10</w:t>
      </w:r>
      <w:r>
        <w:rPr>
          <w:rFonts w:hint="eastAsia" w:ascii="微软雅黑" w:hAnsi="微软雅黑" w:eastAsia="微软雅黑"/>
          <w:b/>
          <w:bCs/>
        </w:rPr>
        <w:t>、如何对麦克风和扬声器进行调试？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答：具体调试步骤参见 1.2.2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11、我的网络正常，能够打开网页，但网络检测结果是异常该如何解决？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答：能够使用浏览器打开网页，只能证明当前网络环境没有限制打开网页（80/443 端口），但视频面试时需要使用其它端口。具体解决步骤参见 1.2.3.2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12、视频面试对于网络有什么要求吗？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答：具体要求参见 1.2.3.1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13、我的网络带宽不满足，能参加面试吗？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答：如果网络带宽无法满足，可能会影响面试，需要更换网络环境或使用 4G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热点来解决。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14、我的电脑屏幕分辨率已达到要求，但依然无法正常显示网站内容，怎么办？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答：面试系统要求屏幕分辨率达到 1200×600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象素及其以上。如果已达到要求，还无法正常显示时，请检查显示区的缩放是否设置超过 100%。如果屏幕为 2K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屏时，缩放不要超过 125%。设置缩放的步骤如下。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7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操作系统</w:t>
      </w:r>
    </w:p>
    <w:p>
      <w:pPr>
        <w:pStyle w:val="11"/>
        <w:numPr>
          <w:ilvl w:val="0"/>
          <w:numId w:val="1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打开“控制面板”。</w:t>
      </w:r>
    </w:p>
    <w:p>
      <w:pPr>
        <w:pStyle w:val="11"/>
        <w:numPr>
          <w:ilvl w:val="0"/>
          <w:numId w:val="1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点击“显示” 或者 点击“外观和个性化”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“</w:t>
      </w:r>
      <w:r>
        <w:rPr>
          <w:rFonts w:hint="eastAsia" w:ascii="微软雅黑" w:hAnsi="微软雅黑" w:eastAsia="微软雅黑"/>
        </w:rPr>
        <w:t>显示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6010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将“放大或缩小文本和其他项目”-“使阅读屏幕上的内容更容易”设置为 较小-100%（默认）。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10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或 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8/8.1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操作系统</w:t>
      </w:r>
    </w:p>
    <w:p>
      <w:pPr>
        <w:pStyle w:val="11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打开“设置”。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点击“系统”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点击左侧菜单“显示”。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将“缩放与布局”-“更改文本、应用等项目的大小”设置为 100%。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15、登录时提示“请输入您本人报名时的证件号码”，怎么办？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请根据主办方通知上的要求选择对应的证件类型。通常，中国大陆考生需要使用自己的居民身份证作为登录依据，港澳地区考生需要使用港澳居民来往内地通行证，台湾地区考生需要使用台湾居民来往大陆通行证。如果主办方要求使用手机号码或其它诸如准考证号、驾照、学生证、军官证等登录的，则需要在证件类型中选择“其他”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16、我的个人信息不正确，会影响面试吗？</w:t>
      </w:r>
      <w:r>
        <w:rPr>
          <w:rFonts w:ascii="微软雅黑" w:hAnsi="微软雅黑" w:eastAsia="微软雅黑"/>
          <w:b/>
          <w:bCs/>
        </w:rPr>
        <w:br w:type="textWrapping"/>
      </w:r>
      <w:r>
        <w:rPr>
          <w:rFonts w:hint="eastAsia" w:ascii="微软雅黑" w:hAnsi="微软雅黑" w:eastAsia="微软雅黑"/>
        </w:rPr>
        <w:t>答：如果确定输入的证件类型和证件号码正确，但显示的姓名、性别等信息不正确时，请联系主办方。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17</w:t>
      </w:r>
      <w:r>
        <w:rPr>
          <w:rFonts w:hint="eastAsia" w:ascii="微软雅黑" w:hAnsi="微软雅黑" w:eastAsia="微软雅黑"/>
          <w:b/>
          <w:bCs/>
        </w:rPr>
        <w:t>、我无法进入面试，怎么办？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答：请在面试开放时间进入面试，如果时间未到是无法进入面试的，请耐心等待。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18</w:t>
      </w:r>
      <w:r>
        <w:rPr>
          <w:rFonts w:hint="eastAsia" w:ascii="微软雅黑" w:hAnsi="微软雅黑" w:eastAsia="微软雅黑"/>
          <w:b/>
          <w:bCs/>
        </w:rPr>
        <w:t>、多次人脸核验，都核验不通过？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答：多次人脸核验不通过，请联系主办方。</w:t>
      </w:r>
    </w:p>
    <w:sectPr>
      <w:pgSz w:w="12240" w:h="15840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D07D9"/>
    <w:multiLevelType w:val="multilevel"/>
    <w:tmpl w:val="175D07D9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E8D3A15"/>
    <w:multiLevelType w:val="multilevel"/>
    <w:tmpl w:val="1E8D3A15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5847C07"/>
    <w:multiLevelType w:val="multilevel"/>
    <w:tmpl w:val="25847C0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2ACA53B8"/>
    <w:multiLevelType w:val="multilevel"/>
    <w:tmpl w:val="2ACA53B8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69A60FD"/>
    <w:multiLevelType w:val="multilevel"/>
    <w:tmpl w:val="369A60FD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0F5414"/>
    <w:multiLevelType w:val="multilevel"/>
    <w:tmpl w:val="3C0F5414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DC5217"/>
    <w:multiLevelType w:val="multilevel"/>
    <w:tmpl w:val="48DC521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4DA3241C"/>
    <w:multiLevelType w:val="multilevel"/>
    <w:tmpl w:val="4DA3241C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0864A7A"/>
    <w:multiLevelType w:val="multilevel"/>
    <w:tmpl w:val="60864A7A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73A42B03"/>
    <w:multiLevelType w:val="multilevel"/>
    <w:tmpl w:val="73A42B03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9726D4D"/>
    <w:multiLevelType w:val="multilevel"/>
    <w:tmpl w:val="79726D4D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7DAC11A9"/>
    <w:multiLevelType w:val="multilevel"/>
    <w:tmpl w:val="7DAC11A9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6"/>
  </w:num>
  <w:num w:numId="5">
    <w:abstractNumId w:val="8"/>
  </w:num>
  <w:num w:numId="6">
    <w:abstractNumId w:val="7"/>
  </w:num>
  <w:num w:numId="7">
    <w:abstractNumId w:val="11"/>
  </w:num>
  <w:num w:numId="8">
    <w:abstractNumId w:val="4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dit="trackedChanges" w:enforcement="0"/>
  <w:defaultTabStop w:val="720"/>
  <w:characterSpacingControl w:val="compressPunctuation"/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A57"/>
    <w:rsid w:val="000005D6"/>
    <w:rsid w:val="00007D77"/>
    <w:rsid w:val="0002363B"/>
    <w:rsid w:val="000250AC"/>
    <w:rsid w:val="000254CD"/>
    <w:rsid w:val="00030607"/>
    <w:rsid w:val="00030A0D"/>
    <w:rsid w:val="00036AF2"/>
    <w:rsid w:val="00042B49"/>
    <w:rsid w:val="00043292"/>
    <w:rsid w:val="000454F8"/>
    <w:rsid w:val="00050F1A"/>
    <w:rsid w:val="00051F25"/>
    <w:rsid w:val="00053557"/>
    <w:rsid w:val="0006041C"/>
    <w:rsid w:val="00062743"/>
    <w:rsid w:val="0006490B"/>
    <w:rsid w:val="000663A9"/>
    <w:rsid w:val="000777D8"/>
    <w:rsid w:val="00077EA6"/>
    <w:rsid w:val="0008543B"/>
    <w:rsid w:val="00087F37"/>
    <w:rsid w:val="00093A8E"/>
    <w:rsid w:val="00094C44"/>
    <w:rsid w:val="00095272"/>
    <w:rsid w:val="000A3B22"/>
    <w:rsid w:val="000A7A88"/>
    <w:rsid w:val="000A7ECC"/>
    <w:rsid w:val="000C0C07"/>
    <w:rsid w:val="000C224E"/>
    <w:rsid w:val="000C31D5"/>
    <w:rsid w:val="000C4435"/>
    <w:rsid w:val="000C6594"/>
    <w:rsid w:val="000C7F3F"/>
    <w:rsid w:val="000D3C0F"/>
    <w:rsid w:val="000D657E"/>
    <w:rsid w:val="000E0DB8"/>
    <w:rsid w:val="000E2B76"/>
    <w:rsid w:val="000E3A32"/>
    <w:rsid w:val="000E5984"/>
    <w:rsid w:val="000F0307"/>
    <w:rsid w:val="0010383D"/>
    <w:rsid w:val="00116DA5"/>
    <w:rsid w:val="00121822"/>
    <w:rsid w:val="00131CDA"/>
    <w:rsid w:val="001431FB"/>
    <w:rsid w:val="001463A2"/>
    <w:rsid w:val="00151264"/>
    <w:rsid w:val="00152CED"/>
    <w:rsid w:val="00162D11"/>
    <w:rsid w:val="00170A60"/>
    <w:rsid w:val="00170D17"/>
    <w:rsid w:val="001716BD"/>
    <w:rsid w:val="00181E1A"/>
    <w:rsid w:val="001844B2"/>
    <w:rsid w:val="001855EF"/>
    <w:rsid w:val="001879A3"/>
    <w:rsid w:val="001951A5"/>
    <w:rsid w:val="001A7C9C"/>
    <w:rsid w:val="001B14EE"/>
    <w:rsid w:val="001B4B35"/>
    <w:rsid w:val="001C1516"/>
    <w:rsid w:val="001E5719"/>
    <w:rsid w:val="002137CD"/>
    <w:rsid w:val="00215ADB"/>
    <w:rsid w:val="00217F8E"/>
    <w:rsid w:val="00242F4B"/>
    <w:rsid w:val="002458BC"/>
    <w:rsid w:val="0026263B"/>
    <w:rsid w:val="0026329E"/>
    <w:rsid w:val="00263FB9"/>
    <w:rsid w:val="0026613C"/>
    <w:rsid w:val="00276A54"/>
    <w:rsid w:val="00277CC1"/>
    <w:rsid w:val="00281501"/>
    <w:rsid w:val="00286F98"/>
    <w:rsid w:val="0029073B"/>
    <w:rsid w:val="00292FCB"/>
    <w:rsid w:val="00293ECB"/>
    <w:rsid w:val="002A6E82"/>
    <w:rsid w:val="002B7F5F"/>
    <w:rsid w:val="002C5BB5"/>
    <w:rsid w:val="002C7217"/>
    <w:rsid w:val="002C729B"/>
    <w:rsid w:val="002E5731"/>
    <w:rsid w:val="002F0E61"/>
    <w:rsid w:val="002F1784"/>
    <w:rsid w:val="00304288"/>
    <w:rsid w:val="00305E4B"/>
    <w:rsid w:val="00307195"/>
    <w:rsid w:val="0030767B"/>
    <w:rsid w:val="00315099"/>
    <w:rsid w:val="003219AC"/>
    <w:rsid w:val="00322DEB"/>
    <w:rsid w:val="003255BA"/>
    <w:rsid w:val="00325AF7"/>
    <w:rsid w:val="00332463"/>
    <w:rsid w:val="00333722"/>
    <w:rsid w:val="0033442D"/>
    <w:rsid w:val="003344C5"/>
    <w:rsid w:val="0034320F"/>
    <w:rsid w:val="00343616"/>
    <w:rsid w:val="003444A8"/>
    <w:rsid w:val="00344DF4"/>
    <w:rsid w:val="00346B95"/>
    <w:rsid w:val="003470BB"/>
    <w:rsid w:val="003550A1"/>
    <w:rsid w:val="00356A2B"/>
    <w:rsid w:val="003642F9"/>
    <w:rsid w:val="00380553"/>
    <w:rsid w:val="003829AF"/>
    <w:rsid w:val="003903A8"/>
    <w:rsid w:val="003954DB"/>
    <w:rsid w:val="003A3097"/>
    <w:rsid w:val="003B00E6"/>
    <w:rsid w:val="003B029C"/>
    <w:rsid w:val="003B13F2"/>
    <w:rsid w:val="003B1A7E"/>
    <w:rsid w:val="003B1B07"/>
    <w:rsid w:val="003B2D25"/>
    <w:rsid w:val="003C53EC"/>
    <w:rsid w:val="003D7CB8"/>
    <w:rsid w:val="003E632F"/>
    <w:rsid w:val="003F6256"/>
    <w:rsid w:val="004029D8"/>
    <w:rsid w:val="00403A56"/>
    <w:rsid w:val="0041096B"/>
    <w:rsid w:val="0041530F"/>
    <w:rsid w:val="00420AD6"/>
    <w:rsid w:val="00424E5F"/>
    <w:rsid w:val="00430C9B"/>
    <w:rsid w:val="0043371C"/>
    <w:rsid w:val="004402BB"/>
    <w:rsid w:val="004448F9"/>
    <w:rsid w:val="00445781"/>
    <w:rsid w:val="004465E5"/>
    <w:rsid w:val="00453D06"/>
    <w:rsid w:val="00456C3F"/>
    <w:rsid w:val="0046211C"/>
    <w:rsid w:val="004717AA"/>
    <w:rsid w:val="00476F42"/>
    <w:rsid w:val="00480ED0"/>
    <w:rsid w:val="0048286C"/>
    <w:rsid w:val="004851A6"/>
    <w:rsid w:val="00491040"/>
    <w:rsid w:val="00494A57"/>
    <w:rsid w:val="004A3122"/>
    <w:rsid w:val="004A76F3"/>
    <w:rsid w:val="004B2B7C"/>
    <w:rsid w:val="004B5520"/>
    <w:rsid w:val="004C6969"/>
    <w:rsid w:val="004C7AC4"/>
    <w:rsid w:val="004D7671"/>
    <w:rsid w:val="004E1B21"/>
    <w:rsid w:val="004E2361"/>
    <w:rsid w:val="004F2C84"/>
    <w:rsid w:val="00501A86"/>
    <w:rsid w:val="005023BA"/>
    <w:rsid w:val="00510162"/>
    <w:rsid w:val="00517822"/>
    <w:rsid w:val="00533DDA"/>
    <w:rsid w:val="00543629"/>
    <w:rsid w:val="005543AD"/>
    <w:rsid w:val="00556EEE"/>
    <w:rsid w:val="005708E3"/>
    <w:rsid w:val="00575883"/>
    <w:rsid w:val="0059112A"/>
    <w:rsid w:val="005A4469"/>
    <w:rsid w:val="005A46D4"/>
    <w:rsid w:val="005A4979"/>
    <w:rsid w:val="005A542A"/>
    <w:rsid w:val="005A5A1C"/>
    <w:rsid w:val="005D161F"/>
    <w:rsid w:val="005D1E5F"/>
    <w:rsid w:val="005D5081"/>
    <w:rsid w:val="005E1BFE"/>
    <w:rsid w:val="005E4E52"/>
    <w:rsid w:val="005F6726"/>
    <w:rsid w:val="0060005E"/>
    <w:rsid w:val="00601F57"/>
    <w:rsid w:val="00617B57"/>
    <w:rsid w:val="0062444A"/>
    <w:rsid w:val="00630659"/>
    <w:rsid w:val="00632719"/>
    <w:rsid w:val="006346E1"/>
    <w:rsid w:val="00637422"/>
    <w:rsid w:val="00640BD4"/>
    <w:rsid w:val="00647BF0"/>
    <w:rsid w:val="00665C08"/>
    <w:rsid w:val="00666FF1"/>
    <w:rsid w:val="00670DBC"/>
    <w:rsid w:val="0067489A"/>
    <w:rsid w:val="0068583C"/>
    <w:rsid w:val="00692D89"/>
    <w:rsid w:val="006A2E72"/>
    <w:rsid w:val="006A425A"/>
    <w:rsid w:val="006A5EC2"/>
    <w:rsid w:val="006A7839"/>
    <w:rsid w:val="006B596F"/>
    <w:rsid w:val="006C0354"/>
    <w:rsid w:val="006C78F5"/>
    <w:rsid w:val="006D00E3"/>
    <w:rsid w:val="006D21BB"/>
    <w:rsid w:val="006F61DF"/>
    <w:rsid w:val="00713A09"/>
    <w:rsid w:val="00714F95"/>
    <w:rsid w:val="00715930"/>
    <w:rsid w:val="00716AAC"/>
    <w:rsid w:val="007214F6"/>
    <w:rsid w:val="00731F63"/>
    <w:rsid w:val="007341FD"/>
    <w:rsid w:val="0074292C"/>
    <w:rsid w:val="007512FA"/>
    <w:rsid w:val="00752F85"/>
    <w:rsid w:val="00754D84"/>
    <w:rsid w:val="00772DC1"/>
    <w:rsid w:val="0077504A"/>
    <w:rsid w:val="007805FE"/>
    <w:rsid w:val="007904F9"/>
    <w:rsid w:val="007A0AF1"/>
    <w:rsid w:val="007A1594"/>
    <w:rsid w:val="007A2558"/>
    <w:rsid w:val="007A3468"/>
    <w:rsid w:val="007A52D6"/>
    <w:rsid w:val="007B2635"/>
    <w:rsid w:val="007B7185"/>
    <w:rsid w:val="007D45BC"/>
    <w:rsid w:val="007E1273"/>
    <w:rsid w:val="007F291C"/>
    <w:rsid w:val="007F5EB2"/>
    <w:rsid w:val="007F6A87"/>
    <w:rsid w:val="008052E3"/>
    <w:rsid w:val="008268E6"/>
    <w:rsid w:val="00831C8C"/>
    <w:rsid w:val="0083715A"/>
    <w:rsid w:val="00841F90"/>
    <w:rsid w:val="00845982"/>
    <w:rsid w:val="00845D29"/>
    <w:rsid w:val="00852E46"/>
    <w:rsid w:val="00857BD3"/>
    <w:rsid w:val="0087113F"/>
    <w:rsid w:val="00872A06"/>
    <w:rsid w:val="0087749E"/>
    <w:rsid w:val="00885A9C"/>
    <w:rsid w:val="008906C5"/>
    <w:rsid w:val="00890816"/>
    <w:rsid w:val="008953E5"/>
    <w:rsid w:val="00896773"/>
    <w:rsid w:val="008B328F"/>
    <w:rsid w:val="008C2C92"/>
    <w:rsid w:val="008D0576"/>
    <w:rsid w:val="008D248A"/>
    <w:rsid w:val="008D3256"/>
    <w:rsid w:val="008D63F2"/>
    <w:rsid w:val="008F0882"/>
    <w:rsid w:val="008F280B"/>
    <w:rsid w:val="008F3CE8"/>
    <w:rsid w:val="008F4DB5"/>
    <w:rsid w:val="008F5731"/>
    <w:rsid w:val="008F5CBB"/>
    <w:rsid w:val="00901D53"/>
    <w:rsid w:val="0090485A"/>
    <w:rsid w:val="00913D2A"/>
    <w:rsid w:val="00914744"/>
    <w:rsid w:val="00920C05"/>
    <w:rsid w:val="009213E5"/>
    <w:rsid w:val="00922D2B"/>
    <w:rsid w:val="00923E70"/>
    <w:rsid w:val="009265B3"/>
    <w:rsid w:val="00940FF0"/>
    <w:rsid w:val="009421BF"/>
    <w:rsid w:val="009434A7"/>
    <w:rsid w:val="00956C15"/>
    <w:rsid w:val="0095765E"/>
    <w:rsid w:val="0096330D"/>
    <w:rsid w:val="009633EC"/>
    <w:rsid w:val="00977D8A"/>
    <w:rsid w:val="0098186C"/>
    <w:rsid w:val="009848DE"/>
    <w:rsid w:val="00985309"/>
    <w:rsid w:val="00994471"/>
    <w:rsid w:val="009961E6"/>
    <w:rsid w:val="009B405B"/>
    <w:rsid w:val="009D545D"/>
    <w:rsid w:val="009E41C2"/>
    <w:rsid w:val="009F5450"/>
    <w:rsid w:val="009F6804"/>
    <w:rsid w:val="00A00C9F"/>
    <w:rsid w:val="00A01938"/>
    <w:rsid w:val="00A170E6"/>
    <w:rsid w:val="00A172EA"/>
    <w:rsid w:val="00A25397"/>
    <w:rsid w:val="00A27FB1"/>
    <w:rsid w:val="00A353DB"/>
    <w:rsid w:val="00A37285"/>
    <w:rsid w:val="00A412B1"/>
    <w:rsid w:val="00A5093F"/>
    <w:rsid w:val="00A639A0"/>
    <w:rsid w:val="00A666FD"/>
    <w:rsid w:val="00A8168C"/>
    <w:rsid w:val="00A82592"/>
    <w:rsid w:val="00A855E1"/>
    <w:rsid w:val="00A86EA8"/>
    <w:rsid w:val="00A918CF"/>
    <w:rsid w:val="00A951B0"/>
    <w:rsid w:val="00AA5736"/>
    <w:rsid w:val="00AA5EC0"/>
    <w:rsid w:val="00AA7DB9"/>
    <w:rsid w:val="00AB1AF2"/>
    <w:rsid w:val="00AC4C21"/>
    <w:rsid w:val="00AC6BF7"/>
    <w:rsid w:val="00AC6F4A"/>
    <w:rsid w:val="00AD1001"/>
    <w:rsid w:val="00AD3854"/>
    <w:rsid w:val="00AE1AF7"/>
    <w:rsid w:val="00AE45E4"/>
    <w:rsid w:val="00AF0807"/>
    <w:rsid w:val="00AF098F"/>
    <w:rsid w:val="00AF1CB5"/>
    <w:rsid w:val="00AF1D54"/>
    <w:rsid w:val="00B00141"/>
    <w:rsid w:val="00B10531"/>
    <w:rsid w:val="00B110B2"/>
    <w:rsid w:val="00B27EC0"/>
    <w:rsid w:val="00B30562"/>
    <w:rsid w:val="00B53E65"/>
    <w:rsid w:val="00B55152"/>
    <w:rsid w:val="00B5594A"/>
    <w:rsid w:val="00B6046B"/>
    <w:rsid w:val="00B7628F"/>
    <w:rsid w:val="00B94975"/>
    <w:rsid w:val="00BA4A8D"/>
    <w:rsid w:val="00BA5F20"/>
    <w:rsid w:val="00BA7498"/>
    <w:rsid w:val="00BC34A8"/>
    <w:rsid w:val="00BE376C"/>
    <w:rsid w:val="00BE52D8"/>
    <w:rsid w:val="00BE5D7B"/>
    <w:rsid w:val="00BE62DD"/>
    <w:rsid w:val="00BF1A83"/>
    <w:rsid w:val="00BF1BC9"/>
    <w:rsid w:val="00BF2717"/>
    <w:rsid w:val="00BF6264"/>
    <w:rsid w:val="00C000AF"/>
    <w:rsid w:val="00C0363C"/>
    <w:rsid w:val="00C10BC4"/>
    <w:rsid w:val="00C21EB3"/>
    <w:rsid w:val="00C248EF"/>
    <w:rsid w:val="00C26E44"/>
    <w:rsid w:val="00C40E41"/>
    <w:rsid w:val="00C477A2"/>
    <w:rsid w:val="00C53216"/>
    <w:rsid w:val="00C53E89"/>
    <w:rsid w:val="00C6255A"/>
    <w:rsid w:val="00C62727"/>
    <w:rsid w:val="00C637D9"/>
    <w:rsid w:val="00C63C24"/>
    <w:rsid w:val="00C7037F"/>
    <w:rsid w:val="00C7258A"/>
    <w:rsid w:val="00C72FDF"/>
    <w:rsid w:val="00C737C9"/>
    <w:rsid w:val="00C77FE8"/>
    <w:rsid w:val="00C84B0C"/>
    <w:rsid w:val="00C915A5"/>
    <w:rsid w:val="00CA19E3"/>
    <w:rsid w:val="00CA5952"/>
    <w:rsid w:val="00CB0B23"/>
    <w:rsid w:val="00CC59AF"/>
    <w:rsid w:val="00CC62BE"/>
    <w:rsid w:val="00CC6E97"/>
    <w:rsid w:val="00CD721F"/>
    <w:rsid w:val="00CE666F"/>
    <w:rsid w:val="00CF246A"/>
    <w:rsid w:val="00D15A8A"/>
    <w:rsid w:val="00D1708F"/>
    <w:rsid w:val="00D26FCE"/>
    <w:rsid w:val="00D3013C"/>
    <w:rsid w:val="00D43CB1"/>
    <w:rsid w:val="00D43E50"/>
    <w:rsid w:val="00D44CD6"/>
    <w:rsid w:val="00D6037A"/>
    <w:rsid w:val="00D64F75"/>
    <w:rsid w:val="00D70625"/>
    <w:rsid w:val="00D76B10"/>
    <w:rsid w:val="00D922EA"/>
    <w:rsid w:val="00D95D0C"/>
    <w:rsid w:val="00D96FC3"/>
    <w:rsid w:val="00D9713F"/>
    <w:rsid w:val="00DA4410"/>
    <w:rsid w:val="00DA4F80"/>
    <w:rsid w:val="00DA7529"/>
    <w:rsid w:val="00DB1895"/>
    <w:rsid w:val="00DD1D13"/>
    <w:rsid w:val="00DD7283"/>
    <w:rsid w:val="00DE1A53"/>
    <w:rsid w:val="00DE3044"/>
    <w:rsid w:val="00DE67DE"/>
    <w:rsid w:val="00DF3EB0"/>
    <w:rsid w:val="00DF5B05"/>
    <w:rsid w:val="00E00980"/>
    <w:rsid w:val="00E037DD"/>
    <w:rsid w:val="00E05C98"/>
    <w:rsid w:val="00E11F2C"/>
    <w:rsid w:val="00E140F7"/>
    <w:rsid w:val="00E14E6A"/>
    <w:rsid w:val="00E17AC7"/>
    <w:rsid w:val="00E22105"/>
    <w:rsid w:val="00E26B30"/>
    <w:rsid w:val="00E279C7"/>
    <w:rsid w:val="00E30930"/>
    <w:rsid w:val="00E344B4"/>
    <w:rsid w:val="00E43245"/>
    <w:rsid w:val="00E463CA"/>
    <w:rsid w:val="00E47583"/>
    <w:rsid w:val="00E521BB"/>
    <w:rsid w:val="00E541AA"/>
    <w:rsid w:val="00E61F5C"/>
    <w:rsid w:val="00E677FE"/>
    <w:rsid w:val="00E7026F"/>
    <w:rsid w:val="00E7790A"/>
    <w:rsid w:val="00E874EE"/>
    <w:rsid w:val="00E87CBA"/>
    <w:rsid w:val="00E87FBC"/>
    <w:rsid w:val="00EC0F47"/>
    <w:rsid w:val="00EC721D"/>
    <w:rsid w:val="00ED0F17"/>
    <w:rsid w:val="00ED779F"/>
    <w:rsid w:val="00EE2B12"/>
    <w:rsid w:val="00EE344B"/>
    <w:rsid w:val="00EE4300"/>
    <w:rsid w:val="00F04AB1"/>
    <w:rsid w:val="00F10522"/>
    <w:rsid w:val="00F1108E"/>
    <w:rsid w:val="00F15851"/>
    <w:rsid w:val="00F176CE"/>
    <w:rsid w:val="00F20AC7"/>
    <w:rsid w:val="00F23CC7"/>
    <w:rsid w:val="00F24F2B"/>
    <w:rsid w:val="00F378A1"/>
    <w:rsid w:val="00F41407"/>
    <w:rsid w:val="00F41B42"/>
    <w:rsid w:val="00F54DD7"/>
    <w:rsid w:val="00F57726"/>
    <w:rsid w:val="00F71618"/>
    <w:rsid w:val="00F717EF"/>
    <w:rsid w:val="00F734EC"/>
    <w:rsid w:val="00F770A0"/>
    <w:rsid w:val="00F81D72"/>
    <w:rsid w:val="00F84B52"/>
    <w:rsid w:val="00F96B7C"/>
    <w:rsid w:val="00FB118B"/>
    <w:rsid w:val="00FB2EA5"/>
    <w:rsid w:val="00FC3EFB"/>
    <w:rsid w:val="00FC798A"/>
    <w:rsid w:val="00FD2119"/>
    <w:rsid w:val="00FD4423"/>
    <w:rsid w:val="00FD7F2F"/>
    <w:rsid w:val="00FE75D1"/>
    <w:rsid w:val="00FF5ED6"/>
    <w:rsid w:val="00FF5FE3"/>
    <w:rsid w:val="1EAA7815"/>
    <w:rsid w:val="3CBE631F"/>
    <w:rsid w:val="F7F69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subject"/>
    <w:basedOn w:val="3"/>
    <w:next w:val="3"/>
    <w:link w:val="17"/>
    <w:unhideWhenUsed/>
    <w:qFormat/>
    <w:uiPriority w:val="99"/>
    <w:rPr>
      <w:b/>
      <w:bCs/>
    </w:rPr>
  </w:style>
  <w:style w:type="paragraph" w:styleId="3">
    <w:name w:val="annotation text"/>
    <w:basedOn w:val="1"/>
    <w:link w:val="16"/>
    <w:unhideWhenUsed/>
    <w:qFormat/>
    <w:uiPriority w:val="99"/>
  </w:style>
  <w:style w:type="paragraph" w:styleId="4">
    <w:name w:val="Date"/>
    <w:basedOn w:val="1"/>
    <w:next w:val="1"/>
    <w:link w:val="15"/>
    <w:unhideWhenUsed/>
    <w:qFormat/>
    <w:uiPriority w:val="99"/>
  </w:style>
  <w:style w:type="paragraph" w:styleId="5">
    <w:name w:val="Balloon Text"/>
    <w:basedOn w:val="1"/>
    <w:link w:val="14"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7">
    <w:name w:val="header"/>
    <w:basedOn w:val="1"/>
    <w:link w:val="12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character" w:styleId="9">
    <w:name w:val="annotation reference"/>
    <w:basedOn w:val="8"/>
    <w:unhideWhenUsed/>
    <w:qFormat/>
    <w:uiPriority w:val="99"/>
    <w:rPr>
      <w:sz w:val="21"/>
      <w:szCs w:val="21"/>
    </w:rPr>
  </w:style>
  <w:style w:type="paragraph" w:customStyle="1" w:styleId="11">
    <w:name w:val="List Paragraph"/>
    <w:basedOn w:val="1"/>
    <w:qFormat/>
    <w:uiPriority w:val="34"/>
    <w:pPr>
      <w:ind w:left="720"/>
      <w:contextualSpacing/>
    </w:pPr>
  </w:style>
  <w:style w:type="character" w:customStyle="1" w:styleId="12">
    <w:name w:val="Header Char"/>
    <w:basedOn w:val="8"/>
    <w:link w:val="7"/>
    <w:qFormat/>
    <w:uiPriority w:val="99"/>
  </w:style>
  <w:style w:type="character" w:customStyle="1" w:styleId="13">
    <w:name w:val="Footer Char"/>
    <w:basedOn w:val="8"/>
    <w:link w:val="6"/>
    <w:qFormat/>
    <w:uiPriority w:val="99"/>
  </w:style>
  <w:style w:type="character" w:customStyle="1" w:styleId="14">
    <w:name w:val="Balloon Text Char"/>
    <w:basedOn w:val="8"/>
    <w:link w:val="5"/>
    <w:semiHidden/>
    <w:qFormat/>
    <w:uiPriority w:val="99"/>
    <w:rPr>
      <w:rFonts w:ascii="Segoe UI" w:hAnsi="Segoe UI" w:cs="Segoe UI"/>
      <w:sz w:val="18"/>
      <w:szCs w:val="18"/>
    </w:rPr>
  </w:style>
  <w:style w:type="character" w:customStyle="1" w:styleId="15">
    <w:name w:val="Date Char"/>
    <w:basedOn w:val="8"/>
    <w:link w:val="4"/>
    <w:semiHidden/>
    <w:qFormat/>
    <w:uiPriority w:val="99"/>
  </w:style>
  <w:style w:type="character" w:customStyle="1" w:styleId="16">
    <w:name w:val="Comment Text Char"/>
    <w:basedOn w:val="8"/>
    <w:link w:val="3"/>
    <w:semiHidden/>
    <w:qFormat/>
    <w:uiPriority w:val="99"/>
  </w:style>
  <w:style w:type="character" w:customStyle="1" w:styleId="17">
    <w:name w:val="Comment Subject Char"/>
    <w:basedOn w:val="16"/>
    <w:link w:val="2"/>
    <w:semiHidden/>
    <w:qFormat/>
    <w:uiPriority w:val="99"/>
    <w:rPr>
      <w:b/>
      <w:bCs/>
    </w:rPr>
  </w:style>
  <w:style w:type="paragraph" w:customStyle="1" w:styleId="18">
    <w:name w:val="修订1"/>
    <w:hidden/>
    <w:semiHidden/>
    <w:qFormat/>
    <w:uiPriority w:val="99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theme" Target="theme/theme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diagramColors" Target="diagrams/colors1.xml"/><Relationship Id="rId17" Type="http://schemas.openxmlformats.org/officeDocument/2006/relationships/diagramQuickStyle" Target="diagrams/quickStyle1.xml"/><Relationship Id="rId16" Type="http://schemas.openxmlformats.org/officeDocument/2006/relationships/diagramLayout" Target="diagrams/layout1.xml"/><Relationship Id="rId15" Type="http://schemas.openxmlformats.org/officeDocument/2006/relationships/diagramData" Target="diagrams/data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#1">
  <dgm:title val=""/>
  <dgm:desc val=""/>
  <dgm:catLst>
    <dgm:cat type="accent3" pri="11100"/>
  </dgm:catLst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F1C088-637E-4A91-88F2-4BE317B41FB8}" type="doc">
      <dgm:prSet loTypeId="urn:microsoft.com/office/officeart/2005/8/layout/process1" loCatId="process" qsTypeId="urn:microsoft.com/office/officeart/2005/8/quickstyle/simple1#1" qsCatId="simple" csTypeId="urn:microsoft.com/office/officeart/2005/8/colors/accent3_1#1" csCatId="accent3" phldr="1"/>
      <dgm:spPr/>
    </dgm:pt>
    <dgm:pt modelId="{43EF9109-3BBA-4327-AFA5-C15EFAD93BAE}">
      <dgm:prSet phldrT="[Text]" custT="1"/>
      <dgm:spPr/>
      <dgm:t>
        <a:bodyPr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br>
            <a:rPr lang="en-US" altLang="zh-CN" sz="1200">
              <a:latin typeface="微软雅黑" panose="020B0503020204020204" pitchFamily="2" charset="-122"/>
              <a:ea typeface="微软雅黑" panose="020B0503020204020204" pitchFamily="2" charset="-122"/>
            </a:rPr>
          </a:br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6970007D-A251-45FB-9084-817D69CA8C20}" cxnId="{19825F4F-6BF1-42E1-B5F4-CD84A739BECE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20FF952-23FD-4571-8F58-F46B8473738E}" cxnId="{19825F4F-6BF1-42E1-B5F4-CD84A739BECE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CE87464-40B8-4D36-901B-AB46C5A43CC9}">
      <dgm:prSet phldrT="[Text]" custT="1"/>
      <dgm:spPr/>
      <dgm:t>
        <a:bodyPr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确认</a:t>
          </a:r>
          <a:br>
            <a:rPr lang="en-US" altLang="zh-CN" sz="1200">
              <a:latin typeface="微软雅黑" panose="020B0503020204020204" pitchFamily="2" charset="-122"/>
              <a:ea typeface="微软雅黑" panose="020B0503020204020204" pitchFamily="2" charset="-122"/>
            </a:rPr>
          </a:br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信息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6AF99E6-99C9-445A-A2D6-C7A2A225EE2A}" cxnId="{86C19243-4948-4FF3-A560-D1C08982AE6A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E3F67F1D-F7FF-4216-88E9-302B68F9F5D0}" cxnId="{86C19243-4948-4FF3-A560-D1C08982AE6A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E3723F3-D64E-40A1-9E39-316540EDC6F9}">
      <dgm:prSet phldrT="[Text]" custT="1"/>
      <dgm:spPr/>
      <dgm:t>
        <a:bodyPr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进入</a:t>
          </a:r>
          <a:br>
            <a:rPr lang="en-US" altLang="zh-CN" sz="1200">
              <a:latin typeface="微软雅黑" panose="020B0503020204020204" pitchFamily="2" charset="-122"/>
              <a:ea typeface="微软雅黑" panose="020B0503020204020204" pitchFamily="2" charset="-122"/>
            </a:rPr>
          </a:br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面试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13B6A57-063C-4FD0-80E0-FD484A93AEBD}" cxnId="{A8F631A8-1112-4060-B5A8-DEBBC48446B2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BCEBB24-7951-43AE-9C40-C432CAFC1D74}" cxnId="{A8F631A8-1112-4060-B5A8-DEBBC48446B2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53DA1C9-DF9B-47E8-8A2C-590DCF786B5E}">
      <dgm:prSet phldrT="[Text]" custT="1"/>
      <dgm:spPr/>
      <dgm:t>
        <a:bodyPr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阅读</a:t>
          </a:r>
          <a:br>
            <a:rPr lang="en-US" altLang="zh-CN" sz="1200">
              <a:latin typeface="微软雅黑" panose="020B0503020204020204" pitchFamily="2" charset="-122"/>
              <a:ea typeface="微软雅黑" panose="020B0503020204020204" pitchFamily="2" charset="-122"/>
            </a:rPr>
          </a:br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须知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74DAAE3-6770-43DA-8CA5-736B9C9093A2}" cxnId="{6334C3CD-77FD-4E32-BD9D-09FF3B25F29F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4E5A9DB-0989-45F3-98A4-F3C55A9B34F9}" cxnId="{6334C3CD-77FD-4E32-BD9D-09FF3B25F29F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0347C84-3BAB-4C16-829E-FDC76BAC78BA}">
      <dgm:prSet phldrT="[Text]" custT="1"/>
      <dgm:spPr/>
      <dgm:t>
        <a:bodyPr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进行</a:t>
          </a:r>
          <a:br>
            <a:rPr lang="en-US" altLang="zh-CN" sz="1200">
              <a:latin typeface="微软雅黑" panose="020B0503020204020204" pitchFamily="2" charset="-122"/>
              <a:ea typeface="微软雅黑" panose="020B0503020204020204" pitchFamily="2" charset="-122"/>
            </a:rPr>
          </a:br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面试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7139BD9-6925-4B67-873A-C6124CE2BB0A}" cxnId="{E0CC7C76-2434-428E-87F9-164DE5B5A228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6A5E96C-C554-4267-A009-CB8C32C3CD30}" cxnId="{E0CC7C76-2434-428E-87F9-164DE5B5A228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D1068C8-26C6-4A1B-B317-FE20B67DF3BD}">
      <dgm:prSet phldrT="[Text]" custT="1"/>
      <dgm:spPr/>
      <dgm:t>
        <a:bodyPr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面试</a:t>
          </a:r>
          <a:br>
            <a:rPr lang="en-US" altLang="zh-CN" sz="1200">
              <a:latin typeface="微软雅黑" panose="020B0503020204020204" pitchFamily="2" charset="-122"/>
              <a:ea typeface="微软雅黑" panose="020B0503020204020204" pitchFamily="2" charset="-122"/>
            </a:rPr>
          </a:br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结束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388CA87-C664-4F17-B0CD-CF4C389B0029}" cxnId="{B7C22760-8309-485F-B4F2-25A914710443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C13C55B-B324-465A-B495-ACD93E087D48}" cxnId="{B7C22760-8309-485F-B4F2-25A914710443}" type="sib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6BFA6AEB-428A-4EC8-BCC2-32292B836799}">
      <dgm:prSet phldrT="[Text]" custT="1"/>
      <dgm:spPr/>
      <dgm:t>
        <a:bodyPr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签署</a:t>
          </a:r>
          <a:br>
            <a:rPr lang="en-US" altLang="zh-CN" sz="1200">
              <a:latin typeface="微软雅黑" panose="020B0503020204020204" pitchFamily="2" charset="-122"/>
              <a:ea typeface="微软雅黑" panose="020B0503020204020204" pitchFamily="2" charset="-122"/>
            </a:rPr>
          </a:br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承诺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EFF403D2-DF3B-400B-89BE-0CF0D47F3C2A}" cxnId="{17966255-7E22-4E4A-BDF1-C1666F069DF2}" type="parTrans">
      <dgm:prSet/>
      <dgm:spPr/>
      <dgm:t>
        <a:bodyPr/>
        <a:p>
          <a:endParaRPr lang="zh-CN" altLang="en-US"/>
        </a:p>
      </dgm:t>
    </dgm:pt>
    <dgm:pt modelId="{9FDC2AE9-8A33-45CC-96BF-C7F7A72233A3}" cxnId="{17966255-7E22-4E4A-BDF1-C1666F069DF2}" type="sibTrans">
      <dgm:prSet/>
      <dgm:spPr/>
      <dgm:t>
        <a:bodyPr/>
        <a:p>
          <a:endParaRPr lang="zh-CN" altLang="en-US"/>
        </a:p>
      </dgm:t>
    </dgm:pt>
    <dgm:pt modelId="{FE5E094B-B360-4BBB-954B-89FC26BBEFC9}">
      <dgm:prSet phldrT="[Text]" custT="1"/>
      <dgm:spPr/>
      <dgm:t>
        <a:bodyPr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人脸</a:t>
          </a:r>
          <a:br>
            <a:rPr lang="en-US" altLang="zh-CN" sz="1200">
              <a:latin typeface="微软雅黑" panose="020B0503020204020204" pitchFamily="2" charset="-122"/>
              <a:ea typeface="微软雅黑" panose="020B0503020204020204" pitchFamily="2" charset="-122"/>
            </a:rPr>
          </a:br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核验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1A98D47-A112-4A4C-8535-42F8CD2BB6DF}" cxnId="{AC596CD5-D03D-43F8-98F2-EFA94877DADD}" type="parTrans">
      <dgm:prSet/>
      <dgm:spPr/>
      <dgm:t>
        <a:bodyPr/>
        <a:p>
          <a:endParaRPr lang="zh-CN" altLang="en-US"/>
        </a:p>
      </dgm:t>
    </dgm:pt>
    <dgm:pt modelId="{54EE69E1-F796-4C82-9825-81E8AA12C245}" cxnId="{AC596CD5-D03D-43F8-98F2-EFA94877DADD}" type="sibTrans">
      <dgm:prSet/>
      <dgm:spPr/>
      <dgm:t>
        <a:bodyPr/>
        <a:p>
          <a:endParaRPr lang="zh-CN" altLang="en-US"/>
        </a:p>
      </dgm:t>
    </dgm:pt>
    <dgm:pt modelId="{EDD85BAF-14E4-4750-AB8C-5CAA2659411C}" type="pres">
      <dgm:prSet presAssocID="{64F1C088-637E-4A91-88F2-4BE317B41FB8}" presName="Name0" presStyleCnt="0">
        <dgm:presLayoutVars>
          <dgm:dir/>
          <dgm:resizeHandles val="exact"/>
        </dgm:presLayoutVars>
      </dgm:prSet>
      <dgm:spPr/>
    </dgm:pt>
    <dgm:pt modelId="{6131C10A-4930-40C0-9AEA-B04941F4D522}" type="pres">
      <dgm:prSet presAssocID="{43EF9109-3BBA-4327-AFA5-C15EFAD93BAE}" presName="node" presStyleLbl="node1" presStyleIdx="0" presStyleCnt="8">
        <dgm:presLayoutVars>
          <dgm:bulletEnabled val="1"/>
        </dgm:presLayoutVars>
      </dgm:prSet>
      <dgm:spPr/>
    </dgm:pt>
    <dgm:pt modelId="{9EDA6754-6740-4287-A550-D0D45361184B}" type="pres">
      <dgm:prSet presAssocID="{D20FF952-23FD-4571-8F58-F46B8473738E}" presName="sibTrans" presStyleLbl="sibTrans2D1" presStyleIdx="0" presStyleCnt="7"/>
      <dgm:spPr/>
    </dgm:pt>
    <dgm:pt modelId="{BA1A984C-7D24-4C36-8971-BF7DBECC3077}" type="pres">
      <dgm:prSet presAssocID="{D20FF952-23FD-4571-8F58-F46B8473738E}" presName="connectorText" presStyleLbl="sibTrans2D1" presStyleIdx="0" presStyleCnt="7"/>
      <dgm:spPr/>
    </dgm:pt>
    <dgm:pt modelId="{34C00CC1-214F-4709-9566-3E621C3B58BD}" type="pres">
      <dgm:prSet presAssocID="{CCE87464-40B8-4D36-901B-AB46C5A43CC9}" presName="node" presStyleLbl="node1" presStyleIdx="1" presStyleCnt="8">
        <dgm:presLayoutVars>
          <dgm:bulletEnabled val="1"/>
        </dgm:presLayoutVars>
      </dgm:prSet>
      <dgm:spPr/>
    </dgm:pt>
    <dgm:pt modelId="{20A03FD2-4283-48D4-B5E4-B4B0136462FE}" type="pres">
      <dgm:prSet presAssocID="{E3F67F1D-F7FF-4216-88E9-302B68F9F5D0}" presName="sibTrans" presStyleLbl="sibTrans2D1" presStyleIdx="1" presStyleCnt="7"/>
      <dgm:spPr/>
    </dgm:pt>
    <dgm:pt modelId="{44E1265E-256B-4019-82A5-793D9765F42A}" type="pres">
      <dgm:prSet presAssocID="{E3F67F1D-F7FF-4216-88E9-302B68F9F5D0}" presName="connectorText" presStyleLbl="sibTrans2D1" presStyleIdx="1" presStyleCnt="7"/>
      <dgm:spPr/>
    </dgm:pt>
    <dgm:pt modelId="{A304E5BE-81EB-403B-8C68-4A9920F27249}" type="pres">
      <dgm:prSet presAssocID="{7E3723F3-D64E-40A1-9E39-316540EDC6F9}" presName="node" presStyleLbl="node1" presStyleIdx="2" presStyleCnt="8">
        <dgm:presLayoutVars>
          <dgm:bulletEnabled val="1"/>
        </dgm:presLayoutVars>
      </dgm:prSet>
      <dgm:spPr/>
    </dgm:pt>
    <dgm:pt modelId="{739D0653-20FD-45A7-83A7-5108E141F87F}" type="pres">
      <dgm:prSet presAssocID="{0BCEBB24-7951-43AE-9C40-C432CAFC1D74}" presName="sibTrans" presStyleLbl="sibTrans2D1" presStyleIdx="2" presStyleCnt="7"/>
      <dgm:spPr/>
    </dgm:pt>
    <dgm:pt modelId="{D4A59DA0-A29B-4A98-B6AC-E0A62150697B}" type="pres">
      <dgm:prSet presAssocID="{0BCEBB24-7951-43AE-9C40-C432CAFC1D74}" presName="connectorText" presStyleLbl="sibTrans2D1" presStyleIdx="2" presStyleCnt="7"/>
      <dgm:spPr/>
    </dgm:pt>
    <dgm:pt modelId="{9CF2950C-883F-4A51-99A4-F08232A5AA0F}" type="pres">
      <dgm:prSet presAssocID="{D53DA1C9-DF9B-47E8-8A2C-590DCF786B5E}" presName="node" presStyleLbl="node1" presStyleIdx="3" presStyleCnt="8">
        <dgm:presLayoutVars>
          <dgm:bulletEnabled val="1"/>
        </dgm:presLayoutVars>
      </dgm:prSet>
      <dgm:spPr/>
    </dgm:pt>
    <dgm:pt modelId="{4311C56D-44EA-49E7-807C-4D39FBA63E2C}" type="pres">
      <dgm:prSet presAssocID="{04E5A9DB-0989-45F3-98A4-F3C55A9B34F9}" presName="sibTrans" presStyleLbl="sibTrans2D1" presStyleIdx="3" presStyleCnt="7"/>
      <dgm:spPr/>
    </dgm:pt>
    <dgm:pt modelId="{A921315E-A95E-48D7-98F7-0CC6681B143B}" type="pres">
      <dgm:prSet presAssocID="{04E5A9DB-0989-45F3-98A4-F3C55A9B34F9}" presName="connectorText" presStyleLbl="sibTrans2D1" presStyleIdx="3" presStyleCnt="7"/>
      <dgm:spPr/>
    </dgm:pt>
    <dgm:pt modelId="{97D36ECE-CA7C-4C23-9E0B-BEE4D2829140}" type="pres">
      <dgm:prSet presAssocID="{6BFA6AEB-428A-4EC8-BCC2-32292B836799}" presName="node" presStyleLbl="node1" presStyleIdx="4" presStyleCnt="8">
        <dgm:presLayoutVars>
          <dgm:bulletEnabled val="1"/>
        </dgm:presLayoutVars>
      </dgm:prSet>
      <dgm:spPr/>
    </dgm:pt>
    <dgm:pt modelId="{636F001A-1315-4C8F-9E8A-D07A8A08E42A}" type="pres">
      <dgm:prSet presAssocID="{9FDC2AE9-8A33-45CC-96BF-C7F7A72233A3}" presName="sibTrans" presStyleLbl="sibTrans2D1" presStyleIdx="4" presStyleCnt="7"/>
      <dgm:spPr/>
    </dgm:pt>
    <dgm:pt modelId="{3CA96A7E-0CEE-4232-B327-626CEC89965C}" type="pres">
      <dgm:prSet presAssocID="{9FDC2AE9-8A33-45CC-96BF-C7F7A72233A3}" presName="connectorText" presStyleLbl="sibTrans2D1" presStyleIdx="4" presStyleCnt="7"/>
      <dgm:spPr/>
    </dgm:pt>
    <dgm:pt modelId="{FEDCABE7-0DAB-4AC3-A651-5325C5C53C50}" type="pres">
      <dgm:prSet presAssocID="{FE5E094B-B360-4BBB-954B-89FC26BBEFC9}" presName="node" presStyleLbl="node1" presStyleIdx="5" presStyleCnt="8">
        <dgm:presLayoutVars>
          <dgm:bulletEnabled val="1"/>
        </dgm:presLayoutVars>
      </dgm:prSet>
      <dgm:spPr/>
    </dgm:pt>
    <dgm:pt modelId="{21F6AF32-326F-4DC1-852D-5701B31C5196}" type="pres">
      <dgm:prSet presAssocID="{54EE69E1-F796-4C82-9825-81E8AA12C245}" presName="sibTrans" presStyleLbl="sibTrans2D1" presStyleIdx="5" presStyleCnt="7"/>
      <dgm:spPr/>
    </dgm:pt>
    <dgm:pt modelId="{DCEE3FBC-1102-44CA-8E16-6802AE908570}" type="pres">
      <dgm:prSet presAssocID="{54EE69E1-F796-4C82-9825-81E8AA12C245}" presName="connectorText" presStyleLbl="sibTrans2D1" presStyleIdx="5" presStyleCnt="7"/>
      <dgm:spPr/>
    </dgm:pt>
    <dgm:pt modelId="{57F858B9-14A8-44CB-BCFA-82935DBB041A}" type="pres">
      <dgm:prSet presAssocID="{20347C84-3BAB-4C16-829E-FDC76BAC78BA}" presName="node" presStyleLbl="node1" presStyleIdx="6" presStyleCnt="8">
        <dgm:presLayoutVars>
          <dgm:bulletEnabled val="1"/>
        </dgm:presLayoutVars>
      </dgm:prSet>
      <dgm:spPr/>
    </dgm:pt>
    <dgm:pt modelId="{88C59751-64D0-4CCA-AAE1-C8CCC0B7AF87}" type="pres">
      <dgm:prSet presAssocID="{C6A5E96C-C554-4267-A009-CB8C32C3CD30}" presName="sibTrans" presStyleLbl="sibTrans2D1" presStyleIdx="6" presStyleCnt="7"/>
      <dgm:spPr/>
    </dgm:pt>
    <dgm:pt modelId="{33AACFA3-FA26-4565-B372-6F758D4C7D38}" type="pres">
      <dgm:prSet presAssocID="{C6A5E96C-C554-4267-A009-CB8C32C3CD30}" presName="connectorText" presStyleLbl="sibTrans2D1" presStyleIdx="6" presStyleCnt="7"/>
      <dgm:spPr/>
    </dgm:pt>
    <dgm:pt modelId="{BE287DBF-DC99-442F-90AE-0B2DA01B1336}" type="pres">
      <dgm:prSet presAssocID="{7D1068C8-26C6-4A1B-B317-FE20B67DF3BD}" presName="node" presStyleLbl="node1" presStyleIdx="7" presStyleCnt="8">
        <dgm:presLayoutVars>
          <dgm:bulletEnabled val="1"/>
        </dgm:presLayoutVars>
      </dgm:prSet>
      <dgm:spPr/>
    </dgm:pt>
  </dgm:ptLst>
  <dgm:cxnLst>
    <dgm:cxn modelId="{B7C8430F-EA33-4438-A835-A22303E4510C}" type="presOf" srcId="{9FDC2AE9-8A33-45CC-96BF-C7F7A72233A3}" destId="{3CA96A7E-0CEE-4232-B327-626CEC89965C}" srcOrd="1" destOrd="0" presId="urn:microsoft.com/office/officeart/2005/8/layout/process1"/>
    <dgm:cxn modelId="{2FD55E11-A573-4A69-AA79-ED40DF7EEE07}" type="presOf" srcId="{FE5E094B-B360-4BBB-954B-89FC26BBEFC9}" destId="{FEDCABE7-0DAB-4AC3-A651-5325C5C53C50}" srcOrd="0" destOrd="0" presId="urn:microsoft.com/office/officeart/2005/8/layout/process1"/>
    <dgm:cxn modelId="{1AF0C922-8225-4F4C-8278-1EE15FC853BA}" type="presOf" srcId="{D20FF952-23FD-4571-8F58-F46B8473738E}" destId="{BA1A984C-7D24-4C36-8971-BF7DBECC3077}" srcOrd="1" destOrd="0" presId="urn:microsoft.com/office/officeart/2005/8/layout/process1"/>
    <dgm:cxn modelId="{8F185C39-D89B-4F22-A702-B5E1231A3D5F}" type="presOf" srcId="{04E5A9DB-0989-45F3-98A4-F3C55A9B34F9}" destId="{4311C56D-44EA-49E7-807C-4D39FBA63E2C}" srcOrd="0" destOrd="0" presId="urn:microsoft.com/office/officeart/2005/8/layout/process1"/>
    <dgm:cxn modelId="{B7C22760-8309-485F-B4F2-25A914710443}" srcId="{64F1C088-637E-4A91-88F2-4BE317B41FB8}" destId="{7D1068C8-26C6-4A1B-B317-FE20B67DF3BD}" srcOrd="7" destOrd="0" parTransId="{3388CA87-C664-4F17-B0CD-CF4C389B0029}" sibTransId="{4C13C55B-B324-465A-B495-ACD93E087D48}"/>
    <dgm:cxn modelId="{088AC760-8EC8-432C-A9DC-531868DE79FA}" type="presOf" srcId="{C6A5E96C-C554-4267-A009-CB8C32C3CD30}" destId="{33AACFA3-FA26-4565-B372-6F758D4C7D38}" srcOrd="1" destOrd="0" presId="urn:microsoft.com/office/officeart/2005/8/layout/process1"/>
    <dgm:cxn modelId="{86C19243-4948-4FF3-A560-D1C08982AE6A}" srcId="{64F1C088-637E-4A91-88F2-4BE317B41FB8}" destId="{CCE87464-40B8-4D36-901B-AB46C5A43CC9}" srcOrd="1" destOrd="0" parTransId="{F6AF99E6-99C9-445A-A2D6-C7A2A225EE2A}" sibTransId="{E3F67F1D-F7FF-4216-88E9-302B68F9F5D0}"/>
    <dgm:cxn modelId="{7F86DA67-B42A-4B72-B4A2-32A0B3CD3FD7}" type="presOf" srcId="{7E3723F3-D64E-40A1-9E39-316540EDC6F9}" destId="{A304E5BE-81EB-403B-8C68-4A9920F27249}" srcOrd="0" destOrd="0" presId="urn:microsoft.com/office/officeart/2005/8/layout/process1"/>
    <dgm:cxn modelId="{2FAA7F6C-8791-45E0-9895-471353217F29}" type="presOf" srcId="{7D1068C8-26C6-4A1B-B317-FE20B67DF3BD}" destId="{BE287DBF-DC99-442F-90AE-0B2DA01B1336}" srcOrd="0" destOrd="0" presId="urn:microsoft.com/office/officeart/2005/8/layout/process1"/>
    <dgm:cxn modelId="{E088C04D-36C7-4306-875A-ED4FCA3127B5}" type="presOf" srcId="{04E5A9DB-0989-45F3-98A4-F3C55A9B34F9}" destId="{A921315E-A95E-48D7-98F7-0CC6681B143B}" srcOrd="1" destOrd="0" presId="urn:microsoft.com/office/officeart/2005/8/layout/process1"/>
    <dgm:cxn modelId="{19825F4F-6BF1-42E1-B5F4-CD84A739BECE}" srcId="{64F1C088-637E-4A91-88F2-4BE317B41FB8}" destId="{43EF9109-3BBA-4327-AFA5-C15EFAD93BAE}" srcOrd="0" destOrd="0" parTransId="{6970007D-A251-45FB-9084-817D69CA8C20}" sibTransId="{D20FF952-23FD-4571-8F58-F46B8473738E}"/>
    <dgm:cxn modelId="{17966255-7E22-4E4A-BDF1-C1666F069DF2}" srcId="{64F1C088-637E-4A91-88F2-4BE317B41FB8}" destId="{6BFA6AEB-428A-4EC8-BCC2-32292B836799}" srcOrd="4" destOrd="0" parTransId="{EFF403D2-DF3B-400B-89BE-0CF0D47F3C2A}" sibTransId="{9FDC2AE9-8A33-45CC-96BF-C7F7A72233A3}"/>
    <dgm:cxn modelId="{E0CC7C76-2434-428E-87F9-164DE5B5A228}" srcId="{64F1C088-637E-4A91-88F2-4BE317B41FB8}" destId="{20347C84-3BAB-4C16-829E-FDC76BAC78BA}" srcOrd="6" destOrd="0" parTransId="{A7139BD9-6925-4B67-873A-C6124CE2BB0A}" sibTransId="{C6A5E96C-C554-4267-A009-CB8C32C3CD30}"/>
    <dgm:cxn modelId="{0FD3CA85-B260-482C-B676-6B5C537A01EF}" type="presOf" srcId="{D20FF952-23FD-4571-8F58-F46B8473738E}" destId="{9EDA6754-6740-4287-A550-D0D45361184B}" srcOrd="0" destOrd="0" presId="urn:microsoft.com/office/officeart/2005/8/layout/process1"/>
    <dgm:cxn modelId="{9A0D3C90-DCC6-4C05-9427-766FCF78BDCD}" type="presOf" srcId="{54EE69E1-F796-4C82-9825-81E8AA12C245}" destId="{DCEE3FBC-1102-44CA-8E16-6802AE908570}" srcOrd="1" destOrd="0" presId="urn:microsoft.com/office/officeart/2005/8/layout/process1"/>
    <dgm:cxn modelId="{892D0893-8AC5-4539-86DD-F13978F06B1D}" type="presOf" srcId="{CCE87464-40B8-4D36-901B-AB46C5A43CC9}" destId="{34C00CC1-214F-4709-9566-3E621C3B58BD}" srcOrd="0" destOrd="0" presId="urn:microsoft.com/office/officeart/2005/8/layout/process1"/>
    <dgm:cxn modelId="{EBD603A6-39E7-4E2C-B710-CE26D7FA0525}" type="presOf" srcId="{6BFA6AEB-428A-4EC8-BCC2-32292B836799}" destId="{97D36ECE-CA7C-4C23-9E0B-BEE4D2829140}" srcOrd="0" destOrd="0" presId="urn:microsoft.com/office/officeart/2005/8/layout/process1"/>
    <dgm:cxn modelId="{A15327A7-E909-4D99-A561-3A9237551203}" type="presOf" srcId="{0BCEBB24-7951-43AE-9C40-C432CAFC1D74}" destId="{D4A59DA0-A29B-4A98-B6AC-E0A62150697B}" srcOrd="1" destOrd="0" presId="urn:microsoft.com/office/officeart/2005/8/layout/process1"/>
    <dgm:cxn modelId="{A8F631A8-1112-4060-B5A8-DEBBC48446B2}" srcId="{64F1C088-637E-4A91-88F2-4BE317B41FB8}" destId="{7E3723F3-D64E-40A1-9E39-316540EDC6F9}" srcOrd="2" destOrd="0" parTransId="{213B6A57-063C-4FD0-80E0-FD484A93AEBD}" sibTransId="{0BCEBB24-7951-43AE-9C40-C432CAFC1D74}"/>
    <dgm:cxn modelId="{C86B9DAD-42FE-488F-85B2-06BBF413DAEE}" type="presOf" srcId="{64F1C088-637E-4A91-88F2-4BE317B41FB8}" destId="{EDD85BAF-14E4-4750-AB8C-5CAA2659411C}" srcOrd="0" destOrd="0" presId="urn:microsoft.com/office/officeart/2005/8/layout/process1"/>
    <dgm:cxn modelId="{24F165B8-C4E7-40B9-A64C-A284BF1091FB}" type="presOf" srcId="{D53DA1C9-DF9B-47E8-8A2C-590DCF786B5E}" destId="{9CF2950C-883F-4A51-99A4-F08232A5AA0F}" srcOrd="0" destOrd="0" presId="urn:microsoft.com/office/officeart/2005/8/layout/process1"/>
    <dgm:cxn modelId="{AE1632C2-72D2-4ACA-AB79-72F4F405DA2A}" type="presOf" srcId="{C6A5E96C-C554-4267-A009-CB8C32C3CD30}" destId="{88C59751-64D0-4CCA-AAE1-C8CCC0B7AF87}" srcOrd="0" destOrd="0" presId="urn:microsoft.com/office/officeart/2005/8/layout/process1"/>
    <dgm:cxn modelId="{ADE047C6-5A7D-48DC-B414-CCD06B43D2B9}" type="presOf" srcId="{9FDC2AE9-8A33-45CC-96BF-C7F7A72233A3}" destId="{636F001A-1315-4C8F-9E8A-D07A8A08E42A}" srcOrd="0" destOrd="0" presId="urn:microsoft.com/office/officeart/2005/8/layout/process1"/>
    <dgm:cxn modelId="{8DBF54CA-61BD-44EC-B56C-EA70D6F2F3A5}" type="presOf" srcId="{E3F67F1D-F7FF-4216-88E9-302B68F9F5D0}" destId="{20A03FD2-4283-48D4-B5E4-B4B0136462FE}" srcOrd="0" destOrd="0" presId="urn:microsoft.com/office/officeart/2005/8/layout/process1"/>
    <dgm:cxn modelId="{6334C3CD-77FD-4E32-BD9D-09FF3B25F29F}" srcId="{64F1C088-637E-4A91-88F2-4BE317B41FB8}" destId="{D53DA1C9-DF9B-47E8-8A2C-590DCF786B5E}" srcOrd="3" destOrd="0" parTransId="{474DAAE3-6770-43DA-8CA5-736B9C9093A2}" sibTransId="{04E5A9DB-0989-45F3-98A4-F3C55A9B34F9}"/>
    <dgm:cxn modelId="{AC596CD5-D03D-43F8-98F2-EFA94877DADD}" srcId="{64F1C088-637E-4A91-88F2-4BE317B41FB8}" destId="{FE5E094B-B360-4BBB-954B-89FC26BBEFC9}" srcOrd="5" destOrd="0" parTransId="{01A98D47-A112-4A4C-8535-42F8CD2BB6DF}" sibTransId="{54EE69E1-F796-4C82-9825-81E8AA12C245}"/>
    <dgm:cxn modelId="{3E3B81E7-7499-4028-BBB6-B615DCB8CB42}" type="presOf" srcId="{0BCEBB24-7951-43AE-9C40-C432CAFC1D74}" destId="{739D0653-20FD-45A7-83A7-5108E141F87F}" srcOrd="0" destOrd="0" presId="urn:microsoft.com/office/officeart/2005/8/layout/process1"/>
    <dgm:cxn modelId="{EA5D4FEE-2AA0-4497-87CC-53AFE467F059}" type="presOf" srcId="{43EF9109-3BBA-4327-AFA5-C15EFAD93BAE}" destId="{6131C10A-4930-40C0-9AEA-B04941F4D522}" srcOrd="0" destOrd="0" presId="urn:microsoft.com/office/officeart/2005/8/layout/process1"/>
    <dgm:cxn modelId="{C41197F4-6836-4449-9B36-B954C4D4EBA5}" type="presOf" srcId="{E3F67F1D-F7FF-4216-88E9-302B68F9F5D0}" destId="{44E1265E-256B-4019-82A5-793D9765F42A}" srcOrd="1" destOrd="0" presId="urn:microsoft.com/office/officeart/2005/8/layout/process1"/>
    <dgm:cxn modelId="{C29682FB-06B5-4F29-9339-A06B38E2365E}" type="presOf" srcId="{54EE69E1-F796-4C82-9825-81E8AA12C245}" destId="{21F6AF32-326F-4DC1-852D-5701B31C5196}" srcOrd="0" destOrd="0" presId="urn:microsoft.com/office/officeart/2005/8/layout/process1"/>
    <dgm:cxn modelId="{8A0D44FC-EF08-46AF-8767-7C76B4B2ADFC}" type="presOf" srcId="{20347C84-3BAB-4C16-829E-FDC76BAC78BA}" destId="{57F858B9-14A8-44CB-BCFA-82935DBB041A}" srcOrd="0" destOrd="0" presId="urn:microsoft.com/office/officeart/2005/8/layout/process1"/>
    <dgm:cxn modelId="{B7D8D338-6A90-407A-9A45-D18B2C584A66}" type="presParOf" srcId="{EDD85BAF-14E4-4750-AB8C-5CAA2659411C}" destId="{6131C10A-4930-40C0-9AEA-B04941F4D522}" srcOrd="0" destOrd="0" presId="urn:microsoft.com/office/officeart/2005/8/layout/process1"/>
    <dgm:cxn modelId="{AF4BE370-EDDA-47E6-AD05-0D1E405F4641}" type="presParOf" srcId="{EDD85BAF-14E4-4750-AB8C-5CAA2659411C}" destId="{9EDA6754-6740-4287-A550-D0D45361184B}" srcOrd="1" destOrd="0" presId="urn:microsoft.com/office/officeart/2005/8/layout/process1"/>
    <dgm:cxn modelId="{6547D441-449C-4743-A8B5-EA3BC313B332}" type="presParOf" srcId="{9EDA6754-6740-4287-A550-D0D45361184B}" destId="{BA1A984C-7D24-4C36-8971-BF7DBECC3077}" srcOrd="0" destOrd="0" presId="urn:microsoft.com/office/officeart/2005/8/layout/process1"/>
    <dgm:cxn modelId="{9E440C19-74DB-4C35-B963-EA86ED618B82}" type="presParOf" srcId="{EDD85BAF-14E4-4750-AB8C-5CAA2659411C}" destId="{34C00CC1-214F-4709-9566-3E621C3B58BD}" srcOrd="2" destOrd="0" presId="urn:microsoft.com/office/officeart/2005/8/layout/process1"/>
    <dgm:cxn modelId="{F3C1579D-B1C5-4F08-9132-24D27A6D84C0}" type="presParOf" srcId="{EDD85BAF-14E4-4750-AB8C-5CAA2659411C}" destId="{20A03FD2-4283-48D4-B5E4-B4B0136462FE}" srcOrd="3" destOrd="0" presId="urn:microsoft.com/office/officeart/2005/8/layout/process1"/>
    <dgm:cxn modelId="{543AB4F6-D894-4651-937C-4185672E4A08}" type="presParOf" srcId="{20A03FD2-4283-48D4-B5E4-B4B0136462FE}" destId="{44E1265E-256B-4019-82A5-793D9765F42A}" srcOrd="0" destOrd="0" presId="urn:microsoft.com/office/officeart/2005/8/layout/process1"/>
    <dgm:cxn modelId="{0835F506-E7EC-4954-81F5-282467A45601}" type="presParOf" srcId="{EDD85BAF-14E4-4750-AB8C-5CAA2659411C}" destId="{A304E5BE-81EB-403B-8C68-4A9920F27249}" srcOrd="4" destOrd="0" presId="urn:microsoft.com/office/officeart/2005/8/layout/process1"/>
    <dgm:cxn modelId="{211A6478-AFDB-43A4-8A74-BE9954FB094C}" type="presParOf" srcId="{EDD85BAF-14E4-4750-AB8C-5CAA2659411C}" destId="{739D0653-20FD-45A7-83A7-5108E141F87F}" srcOrd="5" destOrd="0" presId="urn:microsoft.com/office/officeart/2005/8/layout/process1"/>
    <dgm:cxn modelId="{9E26E291-2723-4EC4-8709-76C860CACBB3}" type="presParOf" srcId="{739D0653-20FD-45A7-83A7-5108E141F87F}" destId="{D4A59DA0-A29B-4A98-B6AC-E0A62150697B}" srcOrd="0" destOrd="0" presId="urn:microsoft.com/office/officeart/2005/8/layout/process1"/>
    <dgm:cxn modelId="{ABB26723-CCDA-4D9B-8A7A-386647524A3D}" type="presParOf" srcId="{EDD85BAF-14E4-4750-AB8C-5CAA2659411C}" destId="{9CF2950C-883F-4A51-99A4-F08232A5AA0F}" srcOrd="6" destOrd="0" presId="urn:microsoft.com/office/officeart/2005/8/layout/process1"/>
    <dgm:cxn modelId="{78B432EF-D0C2-4A5A-A4CF-98E7E7D4C850}" type="presParOf" srcId="{EDD85BAF-14E4-4750-AB8C-5CAA2659411C}" destId="{4311C56D-44EA-49E7-807C-4D39FBA63E2C}" srcOrd="7" destOrd="0" presId="urn:microsoft.com/office/officeart/2005/8/layout/process1"/>
    <dgm:cxn modelId="{592C4EF7-8AA5-47A5-ACB1-CA022ECC919F}" type="presParOf" srcId="{4311C56D-44EA-49E7-807C-4D39FBA63E2C}" destId="{A921315E-A95E-48D7-98F7-0CC6681B143B}" srcOrd="0" destOrd="0" presId="urn:microsoft.com/office/officeart/2005/8/layout/process1"/>
    <dgm:cxn modelId="{8DED6B37-3F1A-406A-9F97-BADF1BA5092B}" type="presParOf" srcId="{EDD85BAF-14E4-4750-AB8C-5CAA2659411C}" destId="{97D36ECE-CA7C-4C23-9E0B-BEE4D2829140}" srcOrd="8" destOrd="0" presId="urn:microsoft.com/office/officeart/2005/8/layout/process1"/>
    <dgm:cxn modelId="{BBA0DB9B-0832-49F7-8FBC-5B50536D152A}" type="presParOf" srcId="{EDD85BAF-14E4-4750-AB8C-5CAA2659411C}" destId="{636F001A-1315-4C8F-9E8A-D07A8A08E42A}" srcOrd="9" destOrd="0" presId="urn:microsoft.com/office/officeart/2005/8/layout/process1"/>
    <dgm:cxn modelId="{EEBEAA50-99C8-4389-AFEF-03AEFD3B09BA}" type="presParOf" srcId="{636F001A-1315-4C8F-9E8A-D07A8A08E42A}" destId="{3CA96A7E-0CEE-4232-B327-626CEC89965C}" srcOrd="0" destOrd="0" presId="urn:microsoft.com/office/officeart/2005/8/layout/process1"/>
    <dgm:cxn modelId="{2AC460C6-DFA1-4C85-AFFF-1DF7B605AF1B}" type="presParOf" srcId="{EDD85BAF-14E4-4750-AB8C-5CAA2659411C}" destId="{FEDCABE7-0DAB-4AC3-A651-5325C5C53C50}" srcOrd="10" destOrd="0" presId="urn:microsoft.com/office/officeart/2005/8/layout/process1"/>
    <dgm:cxn modelId="{4FD06B6A-1DBA-4D00-B060-C79BE18F491D}" type="presParOf" srcId="{EDD85BAF-14E4-4750-AB8C-5CAA2659411C}" destId="{21F6AF32-326F-4DC1-852D-5701B31C5196}" srcOrd="11" destOrd="0" presId="urn:microsoft.com/office/officeart/2005/8/layout/process1"/>
    <dgm:cxn modelId="{36B8836A-49FE-4239-8460-EAB5C9790E3B}" type="presParOf" srcId="{21F6AF32-326F-4DC1-852D-5701B31C5196}" destId="{DCEE3FBC-1102-44CA-8E16-6802AE908570}" srcOrd="0" destOrd="0" presId="urn:microsoft.com/office/officeart/2005/8/layout/process1"/>
    <dgm:cxn modelId="{3B66120C-E1C4-4D8E-8263-E8DF3EB19E88}" type="presParOf" srcId="{EDD85BAF-14E4-4750-AB8C-5CAA2659411C}" destId="{57F858B9-14A8-44CB-BCFA-82935DBB041A}" srcOrd="12" destOrd="0" presId="urn:microsoft.com/office/officeart/2005/8/layout/process1"/>
    <dgm:cxn modelId="{F0A617B1-5F7D-427D-8CE0-F44EEA2DE95D}" type="presParOf" srcId="{EDD85BAF-14E4-4750-AB8C-5CAA2659411C}" destId="{88C59751-64D0-4CCA-AAE1-C8CCC0B7AF87}" srcOrd="13" destOrd="0" presId="urn:microsoft.com/office/officeart/2005/8/layout/process1"/>
    <dgm:cxn modelId="{B50328EF-348B-4F3A-99F1-E2E70056346D}" type="presParOf" srcId="{88C59751-64D0-4CCA-AAE1-C8CCC0B7AF87}" destId="{33AACFA3-FA26-4565-B372-6F758D4C7D38}" srcOrd="0" destOrd="0" presId="urn:microsoft.com/office/officeart/2005/8/layout/process1"/>
    <dgm:cxn modelId="{0B6433CE-E1F4-4588-93B7-03F16CD37BE8}" type="presParOf" srcId="{EDD85BAF-14E4-4750-AB8C-5CAA2659411C}" destId="{BE287DBF-DC99-442F-90AE-0B2DA01B1336}" srcOrd="14" destOrd="0" presId="urn:microsoft.com/office/officeart/2005/8/layout/process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31C10A-4930-40C0-9AEA-B04941F4D522}">
      <dsp:nvSpPr>
        <dsp:cNvPr id="0" name=""/>
        <dsp:cNvSpPr/>
      </dsp:nvSpPr>
      <dsp:spPr>
        <a:xfrm>
          <a:off x="1938" y="18804"/>
          <a:ext cx="524809" cy="61009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charset="-122"/>
              <a:ea typeface="微软雅黑" panose="020B0503020204020204" charset="-122"/>
            </a:rPr>
            <a:t>登录</a:t>
          </a:r>
          <a:br>
            <a:rPr lang="en-US" altLang="zh-CN" sz="1200" kern="1200">
              <a:latin typeface="微软雅黑" panose="020B0503020204020204" charset="-122"/>
              <a:ea typeface="微软雅黑" panose="020B0503020204020204" charset="-122"/>
            </a:rPr>
          </a:br>
          <a:r>
            <a:rPr lang="zh-CN" altLang="en-US" sz="1200" kern="1200">
              <a:latin typeface="微软雅黑" panose="020B0503020204020204" charset="-122"/>
              <a:ea typeface="微软雅黑" panose="020B0503020204020204" charset="-122"/>
            </a:rPr>
            <a:t>系统</a:t>
          </a:r>
          <a:endParaRPr lang="en-US" sz="1200" kern="1200"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17309" y="34175"/>
        <a:ext cx="494067" cy="579349"/>
      </dsp:txXfrm>
    </dsp:sp>
    <dsp:sp modelId="{9EDA6754-6740-4287-A550-D0D45361184B}">
      <dsp:nvSpPr>
        <dsp:cNvPr id="0" name=""/>
        <dsp:cNvSpPr/>
      </dsp:nvSpPr>
      <dsp:spPr>
        <a:xfrm>
          <a:off x="579229" y="258773"/>
          <a:ext cx="111259" cy="130152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579229" y="284803"/>
        <a:ext cx="77881" cy="78092"/>
      </dsp:txXfrm>
    </dsp:sp>
    <dsp:sp modelId="{34C00CC1-214F-4709-9566-3E621C3B58BD}">
      <dsp:nvSpPr>
        <dsp:cNvPr id="0" name=""/>
        <dsp:cNvSpPr/>
      </dsp:nvSpPr>
      <dsp:spPr>
        <a:xfrm>
          <a:off x="736671" y="18804"/>
          <a:ext cx="524809" cy="61009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charset="-122"/>
              <a:ea typeface="微软雅黑" panose="020B0503020204020204" charset="-122"/>
            </a:rPr>
            <a:t>确认</a:t>
          </a:r>
          <a:br>
            <a:rPr lang="en-US" altLang="zh-CN" sz="1200" kern="1200">
              <a:latin typeface="微软雅黑" panose="020B0503020204020204" charset="-122"/>
              <a:ea typeface="微软雅黑" panose="020B0503020204020204" charset="-122"/>
            </a:rPr>
          </a:br>
          <a:r>
            <a:rPr lang="zh-CN" altLang="en-US" sz="1200" kern="1200">
              <a:latin typeface="微软雅黑" panose="020B0503020204020204" charset="-122"/>
              <a:ea typeface="微软雅黑" panose="020B0503020204020204" charset="-122"/>
            </a:rPr>
            <a:t>信息</a:t>
          </a:r>
          <a:endParaRPr lang="en-US" sz="1200" kern="1200"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752042" y="34175"/>
        <a:ext cx="494067" cy="579349"/>
      </dsp:txXfrm>
    </dsp:sp>
    <dsp:sp modelId="{20A03FD2-4283-48D4-B5E4-B4B0136462FE}">
      <dsp:nvSpPr>
        <dsp:cNvPr id="0" name=""/>
        <dsp:cNvSpPr/>
      </dsp:nvSpPr>
      <dsp:spPr>
        <a:xfrm>
          <a:off x="1313962" y="258773"/>
          <a:ext cx="111259" cy="130152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1313962" y="284803"/>
        <a:ext cx="77881" cy="78092"/>
      </dsp:txXfrm>
    </dsp:sp>
    <dsp:sp modelId="{A304E5BE-81EB-403B-8C68-4A9920F27249}">
      <dsp:nvSpPr>
        <dsp:cNvPr id="0" name=""/>
        <dsp:cNvSpPr/>
      </dsp:nvSpPr>
      <dsp:spPr>
        <a:xfrm>
          <a:off x="1471405" y="18804"/>
          <a:ext cx="524809" cy="61009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charset="-122"/>
              <a:ea typeface="微软雅黑" panose="020B0503020204020204" charset="-122"/>
            </a:rPr>
            <a:t>进入</a:t>
          </a:r>
          <a:br>
            <a:rPr lang="en-US" altLang="zh-CN" sz="1200" kern="1200">
              <a:latin typeface="微软雅黑" panose="020B0503020204020204" charset="-122"/>
              <a:ea typeface="微软雅黑" panose="020B0503020204020204" charset="-122"/>
            </a:rPr>
          </a:br>
          <a:r>
            <a:rPr lang="zh-CN" altLang="en-US" sz="1200" kern="1200">
              <a:latin typeface="微软雅黑" panose="020B0503020204020204" charset="-122"/>
              <a:ea typeface="微软雅黑" panose="020B0503020204020204" charset="-122"/>
            </a:rPr>
            <a:t>面试</a:t>
          </a:r>
          <a:endParaRPr lang="en-US" sz="1200" kern="1200"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1486776" y="34175"/>
        <a:ext cx="494067" cy="579349"/>
      </dsp:txXfrm>
    </dsp:sp>
    <dsp:sp modelId="{739D0653-20FD-45A7-83A7-5108E141F87F}">
      <dsp:nvSpPr>
        <dsp:cNvPr id="0" name=""/>
        <dsp:cNvSpPr/>
      </dsp:nvSpPr>
      <dsp:spPr>
        <a:xfrm>
          <a:off x="2048695" y="258773"/>
          <a:ext cx="111259" cy="130152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2048695" y="284803"/>
        <a:ext cx="77881" cy="78092"/>
      </dsp:txXfrm>
    </dsp:sp>
    <dsp:sp modelId="{9CF2950C-883F-4A51-99A4-F08232A5AA0F}">
      <dsp:nvSpPr>
        <dsp:cNvPr id="0" name=""/>
        <dsp:cNvSpPr/>
      </dsp:nvSpPr>
      <dsp:spPr>
        <a:xfrm>
          <a:off x="2206138" y="18804"/>
          <a:ext cx="524809" cy="61009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charset="-122"/>
              <a:ea typeface="微软雅黑" panose="020B0503020204020204" charset="-122"/>
            </a:rPr>
            <a:t>阅读</a:t>
          </a:r>
          <a:br>
            <a:rPr lang="en-US" altLang="zh-CN" sz="1200" kern="1200">
              <a:latin typeface="微软雅黑" panose="020B0503020204020204" charset="-122"/>
              <a:ea typeface="微软雅黑" panose="020B0503020204020204" charset="-122"/>
            </a:rPr>
          </a:br>
          <a:r>
            <a:rPr lang="zh-CN" altLang="en-US" sz="1200" kern="1200">
              <a:latin typeface="微软雅黑" panose="020B0503020204020204" charset="-122"/>
              <a:ea typeface="微软雅黑" panose="020B0503020204020204" charset="-122"/>
            </a:rPr>
            <a:t>须知</a:t>
          </a:r>
          <a:endParaRPr lang="en-US" sz="1200" kern="1200"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2221509" y="34175"/>
        <a:ext cx="494067" cy="579349"/>
      </dsp:txXfrm>
    </dsp:sp>
    <dsp:sp modelId="{4311C56D-44EA-49E7-807C-4D39FBA63E2C}">
      <dsp:nvSpPr>
        <dsp:cNvPr id="0" name=""/>
        <dsp:cNvSpPr/>
      </dsp:nvSpPr>
      <dsp:spPr>
        <a:xfrm>
          <a:off x="2783429" y="258773"/>
          <a:ext cx="111259" cy="130152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2783429" y="284803"/>
        <a:ext cx="77881" cy="78092"/>
      </dsp:txXfrm>
    </dsp:sp>
    <dsp:sp modelId="{97D36ECE-CA7C-4C23-9E0B-BEE4D2829140}">
      <dsp:nvSpPr>
        <dsp:cNvPr id="0" name=""/>
        <dsp:cNvSpPr/>
      </dsp:nvSpPr>
      <dsp:spPr>
        <a:xfrm>
          <a:off x="2940871" y="18804"/>
          <a:ext cx="524809" cy="61009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charset="-122"/>
              <a:ea typeface="微软雅黑" panose="020B0503020204020204" charset="-122"/>
            </a:rPr>
            <a:t>签署</a:t>
          </a:r>
          <a:br>
            <a:rPr lang="en-US" altLang="zh-CN" sz="1200" kern="1200">
              <a:latin typeface="微软雅黑" panose="020B0503020204020204" charset="-122"/>
              <a:ea typeface="微软雅黑" panose="020B0503020204020204" charset="-122"/>
            </a:rPr>
          </a:br>
          <a:r>
            <a:rPr lang="zh-CN" altLang="en-US" sz="1200" kern="1200">
              <a:latin typeface="微软雅黑" panose="020B0503020204020204" charset="-122"/>
              <a:ea typeface="微软雅黑" panose="020B0503020204020204" charset="-122"/>
            </a:rPr>
            <a:t>承诺</a:t>
          </a:r>
          <a:endParaRPr lang="en-US" sz="1200" kern="1200"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2956242" y="34175"/>
        <a:ext cx="494067" cy="579349"/>
      </dsp:txXfrm>
    </dsp:sp>
    <dsp:sp modelId="{636F001A-1315-4C8F-9E8A-D07A8A08E42A}">
      <dsp:nvSpPr>
        <dsp:cNvPr id="0" name=""/>
        <dsp:cNvSpPr/>
      </dsp:nvSpPr>
      <dsp:spPr>
        <a:xfrm>
          <a:off x="3518162" y="258773"/>
          <a:ext cx="111259" cy="130152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518162" y="284803"/>
        <a:ext cx="77881" cy="78092"/>
      </dsp:txXfrm>
    </dsp:sp>
    <dsp:sp modelId="{FEDCABE7-0DAB-4AC3-A651-5325C5C53C50}">
      <dsp:nvSpPr>
        <dsp:cNvPr id="0" name=""/>
        <dsp:cNvSpPr/>
      </dsp:nvSpPr>
      <dsp:spPr>
        <a:xfrm>
          <a:off x="3675605" y="18804"/>
          <a:ext cx="524809" cy="61009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charset="-122"/>
              <a:ea typeface="微软雅黑" panose="020B0503020204020204" charset="-122"/>
            </a:rPr>
            <a:t>人脸</a:t>
          </a:r>
          <a:br>
            <a:rPr lang="en-US" altLang="zh-CN" sz="1200" kern="1200">
              <a:latin typeface="微软雅黑" panose="020B0503020204020204" charset="-122"/>
              <a:ea typeface="微软雅黑" panose="020B0503020204020204" charset="-122"/>
            </a:rPr>
          </a:br>
          <a:r>
            <a:rPr lang="zh-CN" altLang="en-US" sz="1200" kern="1200">
              <a:latin typeface="微软雅黑" panose="020B0503020204020204" charset="-122"/>
              <a:ea typeface="微软雅黑" panose="020B0503020204020204" charset="-122"/>
            </a:rPr>
            <a:t>核验</a:t>
          </a:r>
          <a:endParaRPr lang="en-US" sz="1200" kern="1200"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3690976" y="34175"/>
        <a:ext cx="494067" cy="579349"/>
      </dsp:txXfrm>
    </dsp:sp>
    <dsp:sp modelId="{21F6AF32-326F-4DC1-852D-5701B31C5196}">
      <dsp:nvSpPr>
        <dsp:cNvPr id="0" name=""/>
        <dsp:cNvSpPr/>
      </dsp:nvSpPr>
      <dsp:spPr>
        <a:xfrm>
          <a:off x="4252895" y="258773"/>
          <a:ext cx="111259" cy="130152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4252895" y="284803"/>
        <a:ext cx="77881" cy="78092"/>
      </dsp:txXfrm>
    </dsp:sp>
    <dsp:sp modelId="{57F858B9-14A8-44CB-BCFA-82935DBB041A}">
      <dsp:nvSpPr>
        <dsp:cNvPr id="0" name=""/>
        <dsp:cNvSpPr/>
      </dsp:nvSpPr>
      <dsp:spPr>
        <a:xfrm>
          <a:off x="4410338" y="18804"/>
          <a:ext cx="524809" cy="61009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charset="-122"/>
              <a:ea typeface="微软雅黑" panose="020B0503020204020204" charset="-122"/>
            </a:rPr>
            <a:t>进行</a:t>
          </a:r>
          <a:br>
            <a:rPr lang="en-US" altLang="zh-CN" sz="1200" kern="1200">
              <a:latin typeface="微软雅黑" panose="020B0503020204020204" charset="-122"/>
              <a:ea typeface="微软雅黑" panose="020B0503020204020204" charset="-122"/>
            </a:rPr>
          </a:br>
          <a:r>
            <a:rPr lang="zh-CN" altLang="en-US" sz="1200" kern="1200">
              <a:latin typeface="微软雅黑" panose="020B0503020204020204" charset="-122"/>
              <a:ea typeface="微软雅黑" panose="020B0503020204020204" charset="-122"/>
            </a:rPr>
            <a:t>面试</a:t>
          </a:r>
          <a:endParaRPr lang="en-US" sz="1200" kern="1200"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4425709" y="34175"/>
        <a:ext cx="494067" cy="579349"/>
      </dsp:txXfrm>
    </dsp:sp>
    <dsp:sp modelId="{88C59751-64D0-4CCA-AAE1-C8CCC0B7AF87}">
      <dsp:nvSpPr>
        <dsp:cNvPr id="0" name=""/>
        <dsp:cNvSpPr/>
      </dsp:nvSpPr>
      <dsp:spPr>
        <a:xfrm>
          <a:off x="4987629" y="258773"/>
          <a:ext cx="111259" cy="130152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4987629" y="284803"/>
        <a:ext cx="77881" cy="78092"/>
      </dsp:txXfrm>
    </dsp:sp>
    <dsp:sp modelId="{BE287DBF-DC99-442F-90AE-0B2DA01B1336}">
      <dsp:nvSpPr>
        <dsp:cNvPr id="0" name=""/>
        <dsp:cNvSpPr/>
      </dsp:nvSpPr>
      <dsp:spPr>
        <a:xfrm>
          <a:off x="5145071" y="18804"/>
          <a:ext cx="524809" cy="61009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charset="-122"/>
              <a:ea typeface="微软雅黑" panose="020B0503020204020204" charset="-122"/>
            </a:rPr>
            <a:t>面试</a:t>
          </a:r>
          <a:br>
            <a:rPr lang="en-US" altLang="zh-CN" sz="1200" kern="1200">
              <a:latin typeface="微软雅黑" panose="020B0503020204020204" charset="-122"/>
              <a:ea typeface="微软雅黑" panose="020B0503020204020204" charset="-122"/>
            </a:rPr>
          </a:br>
          <a:r>
            <a:rPr lang="zh-CN" altLang="en-US" sz="1200" kern="1200">
              <a:latin typeface="微软雅黑" panose="020B0503020204020204" charset="-122"/>
              <a:ea typeface="微软雅黑" panose="020B0503020204020204" charset="-122"/>
            </a:rPr>
            <a:t>结束</a:t>
          </a:r>
          <a:endParaRPr lang="en-US" sz="1200" kern="1200">
            <a:latin typeface="微软雅黑" panose="020B0503020204020204" charset="-122"/>
            <a:ea typeface="微软雅黑" panose="020B0503020204020204" charset="-122"/>
          </a:endParaRPr>
        </a:p>
      </dsp:txBody>
      <dsp:txXfrm>
        <a:off x="5160442" y="34175"/>
        <a:ext cx="494067" cy="57934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ATA Inc.</Company>
  <Pages>24</Pages>
  <Words>854</Words>
  <Characters>4870</Characters>
  <Lines>40</Lines>
  <Paragraphs>11</Paragraphs>
  <TotalTime>43</TotalTime>
  <ScaleCrop>false</ScaleCrop>
  <LinksUpToDate>false</LinksUpToDate>
  <CharactersWithSpaces>5713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2021-10-29T15:27:00Z</dcterms:created>
  <dc:creator>Allen</dc:creator>
  <cp:lastModifiedBy>伍国铭</cp:lastModifiedBy>
  <cp:lastPrinted>2020-09-21T18:07:00Z</cp:lastPrinted>
  <dcterms:modified xsi:type="dcterms:W3CDTF">2021-11-13T08:32:36Z</dcterms:modified>
  <dc:title>远鉴·候选人使用说明(人机)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  <property fmtid="{D5CDD505-2E9C-101B-9397-08002B2CF9AE}" pid="3" name="ICV">
    <vt:lpwstr>A4027F039C954837B58B731F65D1B159</vt:lpwstr>
  </property>
</Properties>
</file>